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8" w:rsidRDefault="006537E8">
      <w:bookmarkStart w:id="0" w:name="_GoBack"/>
      <w:bookmarkEnd w:id="0"/>
    </w:p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6537E8" w:rsidRDefault="006537E8"/>
    <w:p w:rsidR="00BE285C" w:rsidRDefault="006537E8" w:rsidP="006537E8">
      <w:pPr>
        <w:pStyle w:val="Title"/>
        <w:jc w:val="center"/>
      </w:pPr>
      <w:r>
        <w:t>И</w:t>
      </w:r>
      <w:r w:rsidR="00BE285C" w:rsidRPr="00BE285C">
        <w:t>зследване на дарителството от работното място сред 100-те български фирми с най-голяма печалба през 2014 г.</w:t>
      </w:r>
      <w:r>
        <w:t xml:space="preserve">, </w:t>
      </w:r>
      <w:r w:rsidRPr="006537E8">
        <w:t>големи работодатели и рекламодатели в България</w:t>
      </w:r>
    </w:p>
    <w:p w:rsidR="006537E8" w:rsidRPr="006537E8" w:rsidRDefault="006537E8" w:rsidP="006537E8">
      <w:pPr>
        <w:pStyle w:val="Subtitle"/>
        <w:jc w:val="center"/>
        <w:rPr>
          <w:rStyle w:val="SubtleEmphasis"/>
          <w:color w:val="17365D" w:themeColor="text2" w:themeShade="BF"/>
        </w:rPr>
      </w:pPr>
      <w:r w:rsidRPr="006537E8">
        <w:rPr>
          <w:rStyle w:val="SubtleEmphasis"/>
          <w:color w:val="17365D" w:themeColor="text2" w:themeShade="BF"/>
        </w:rPr>
        <w:t>Ноември 2015 – Февруари 2016</w:t>
      </w:r>
    </w:p>
    <w:p w:rsidR="007A402A" w:rsidRDefault="007A402A">
      <w:r>
        <w:br w:type="page"/>
      </w:r>
    </w:p>
    <w:p w:rsidR="00BE285C" w:rsidRDefault="00BE285C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bg-BG" w:eastAsia="en-US"/>
        </w:rPr>
        <w:id w:val="-7746248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E285C" w:rsidRPr="00BE285C" w:rsidRDefault="00BE285C" w:rsidP="00BE285C">
          <w:pPr>
            <w:pStyle w:val="TOCHeading"/>
            <w:spacing w:before="120" w:after="120" w:line="360" w:lineRule="auto"/>
            <w:rPr>
              <w:lang w:val="bg-BG"/>
            </w:rPr>
          </w:pPr>
          <w:r>
            <w:rPr>
              <w:lang w:val="bg-BG"/>
            </w:rPr>
            <w:t>Съдържание</w:t>
          </w:r>
        </w:p>
        <w:p w:rsidR="00BE285C" w:rsidRPr="00BE285C" w:rsidRDefault="004A20DC" w:rsidP="00BE285C">
          <w:pPr>
            <w:pStyle w:val="TOC1"/>
            <w:tabs>
              <w:tab w:val="left" w:pos="440"/>
              <w:tab w:val="right" w:leader="dot" w:pos="9062"/>
            </w:tabs>
            <w:spacing w:after="120" w:line="360" w:lineRule="auto"/>
            <w:rPr>
              <w:rFonts w:eastAsiaTheme="minorEastAsia"/>
              <w:noProof/>
              <w:sz w:val="24"/>
              <w:szCs w:val="24"/>
              <w:lang w:eastAsia="bg-BG"/>
            </w:rPr>
          </w:pPr>
          <w:r>
            <w:fldChar w:fldCharType="begin"/>
          </w:r>
          <w:r w:rsidR="00BE285C">
            <w:instrText xml:space="preserve"> TOC \o "1-3" \h \z \u </w:instrText>
          </w:r>
          <w:r>
            <w:fldChar w:fldCharType="separate"/>
          </w:r>
          <w:hyperlink w:anchor="_Toc443404468" w:history="1">
            <w:r w:rsidR="00BE285C" w:rsidRPr="00BE285C">
              <w:rPr>
                <w:rStyle w:val="Hyperlink"/>
                <w:noProof/>
                <w:sz w:val="24"/>
                <w:szCs w:val="24"/>
              </w:rPr>
              <w:t>1.</w:t>
            </w:r>
            <w:r w:rsidR="00BE285C" w:rsidRPr="00BE285C">
              <w:rPr>
                <w:rFonts w:eastAsiaTheme="minorEastAsia"/>
                <w:noProof/>
                <w:sz w:val="24"/>
                <w:szCs w:val="24"/>
                <w:lang w:eastAsia="bg-BG"/>
              </w:rPr>
              <w:tab/>
            </w:r>
            <w:r w:rsidR="00BE285C" w:rsidRPr="00BE285C">
              <w:rPr>
                <w:rStyle w:val="Hyperlink"/>
                <w:noProof/>
                <w:sz w:val="24"/>
                <w:szCs w:val="24"/>
              </w:rPr>
              <w:t>Управленско резюме</w:t>
            </w:r>
            <w:r w:rsidR="00BE285C" w:rsidRPr="00BE285C">
              <w:rPr>
                <w:noProof/>
                <w:webHidden/>
                <w:sz w:val="24"/>
                <w:szCs w:val="24"/>
              </w:rPr>
              <w:tab/>
            </w:r>
            <w:r w:rsidRPr="00BE285C">
              <w:rPr>
                <w:noProof/>
                <w:webHidden/>
                <w:sz w:val="24"/>
                <w:szCs w:val="24"/>
              </w:rPr>
              <w:fldChar w:fldCharType="begin"/>
            </w:r>
            <w:r w:rsidR="00BE285C" w:rsidRPr="00BE285C">
              <w:rPr>
                <w:noProof/>
                <w:webHidden/>
                <w:sz w:val="24"/>
                <w:szCs w:val="24"/>
              </w:rPr>
              <w:instrText xml:space="preserve"> PAGEREF _Toc443404468 \h </w:instrText>
            </w:r>
            <w:r w:rsidRPr="00BE285C">
              <w:rPr>
                <w:noProof/>
                <w:webHidden/>
                <w:sz w:val="24"/>
                <w:szCs w:val="24"/>
              </w:rPr>
            </w:r>
            <w:r w:rsidRPr="00BE28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692A">
              <w:rPr>
                <w:noProof/>
                <w:webHidden/>
                <w:sz w:val="24"/>
                <w:szCs w:val="24"/>
              </w:rPr>
              <w:t>3</w:t>
            </w:r>
            <w:r w:rsidRPr="00BE28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285C" w:rsidRPr="00BE285C" w:rsidRDefault="003315E9" w:rsidP="00BE285C">
          <w:pPr>
            <w:pStyle w:val="TOC1"/>
            <w:tabs>
              <w:tab w:val="left" w:pos="440"/>
              <w:tab w:val="right" w:leader="dot" w:pos="9062"/>
            </w:tabs>
            <w:spacing w:after="120" w:line="360" w:lineRule="auto"/>
            <w:rPr>
              <w:rFonts w:eastAsiaTheme="minorEastAsia"/>
              <w:noProof/>
              <w:sz w:val="24"/>
              <w:szCs w:val="24"/>
              <w:lang w:eastAsia="bg-BG"/>
            </w:rPr>
          </w:pPr>
          <w:hyperlink w:anchor="_Toc443404469" w:history="1">
            <w:r w:rsidR="00BE285C" w:rsidRPr="00BE285C">
              <w:rPr>
                <w:rStyle w:val="Hyperlink"/>
                <w:noProof/>
                <w:sz w:val="24"/>
                <w:szCs w:val="24"/>
              </w:rPr>
              <w:t>2.</w:t>
            </w:r>
            <w:r w:rsidR="00BE285C" w:rsidRPr="00BE285C">
              <w:rPr>
                <w:rFonts w:eastAsiaTheme="minorEastAsia"/>
                <w:noProof/>
                <w:sz w:val="24"/>
                <w:szCs w:val="24"/>
                <w:lang w:eastAsia="bg-BG"/>
              </w:rPr>
              <w:tab/>
            </w:r>
            <w:r w:rsidR="00BE285C" w:rsidRPr="00BE285C">
              <w:rPr>
                <w:rStyle w:val="Hyperlink"/>
                <w:noProof/>
                <w:sz w:val="24"/>
                <w:szCs w:val="24"/>
              </w:rPr>
              <w:t>Методология</w:t>
            </w:r>
            <w:r w:rsidR="00BE285C" w:rsidRPr="00BE285C">
              <w:rPr>
                <w:noProof/>
                <w:webHidden/>
                <w:sz w:val="24"/>
                <w:szCs w:val="24"/>
              </w:rPr>
              <w:tab/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begin"/>
            </w:r>
            <w:r w:rsidR="00BE285C" w:rsidRPr="00BE285C">
              <w:rPr>
                <w:noProof/>
                <w:webHidden/>
                <w:sz w:val="24"/>
                <w:szCs w:val="24"/>
              </w:rPr>
              <w:instrText xml:space="preserve"> PAGEREF _Toc443404469 \h </w:instrText>
            </w:r>
            <w:r w:rsidR="004A20DC" w:rsidRPr="00BE285C">
              <w:rPr>
                <w:noProof/>
                <w:webHidden/>
                <w:sz w:val="24"/>
                <w:szCs w:val="24"/>
              </w:rPr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692A">
              <w:rPr>
                <w:noProof/>
                <w:webHidden/>
                <w:sz w:val="24"/>
                <w:szCs w:val="24"/>
              </w:rPr>
              <w:t>3</w:t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285C" w:rsidRPr="00BE285C" w:rsidRDefault="003315E9" w:rsidP="00BE285C">
          <w:pPr>
            <w:pStyle w:val="TOC1"/>
            <w:tabs>
              <w:tab w:val="left" w:pos="440"/>
              <w:tab w:val="right" w:leader="dot" w:pos="9062"/>
            </w:tabs>
            <w:spacing w:after="120" w:line="360" w:lineRule="auto"/>
            <w:rPr>
              <w:rFonts w:eastAsiaTheme="minorEastAsia"/>
              <w:noProof/>
              <w:sz w:val="24"/>
              <w:szCs w:val="24"/>
              <w:lang w:eastAsia="bg-BG"/>
            </w:rPr>
          </w:pPr>
          <w:hyperlink w:anchor="_Toc443404470" w:history="1">
            <w:r w:rsidR="00BE285C" w:rsidRPr="00BE285C">
              <w:rPr>
                <w:rStyle w:val="Hyperlink"/>
                <w:noProof/>
                <w:sz w:val="24"/>
                <w:szCs w:val="24"/>
              </w:rPr>
              <w:t>3.</w:t>
            </w:r>
            <w:r w:rsidR="00BE285C" w:rsidRPr="00BE285C">
              <w:rPr>
                <w:rFonts w:eastAsiaTheme="minorEastAsia"/>
                <w:noProof/>
                <w:sz w:val="24"/>
                <w:szCs w:val="24"/>
                <w:lang w:eastAsia="bg-BG"/>
              </w:rPr>
              <w:tab/>
            </w:r>
            <w:r w:rsidR="00BE285C" w:rsidRPr="00BE285C">
              <w:rPr>
                <w:rStyle w:val="Hyperlink"/>
                <w:noProof/>
                <w:sz w:val="24"/>
                <w:szCs w:val="24"/>
              </w:rPr>
              <w:t>Практики на дарителство от работното място</w:t>
            </w:r>
            <w:r w:rsidR="00BE285C" w:rsidRPr="00BE285C">
              <w:rPr>
                <w:noProof/>
                <w:webHidden/>
                <w:sz w:val="24"/>
                <w:szCs w:val="24"/>
              </w:rPr>
              <w:tab/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begin"/>
            </w:r>
            <w:r w:rsidR="00BE285C" w:rsidRPr="00BE285C">
              <w:rPr>
                <w:noProof/>
                <w:webHidden/>
                <w:sz w:val="24"/>
                <w:szCs w:val="24"/>
              </w:rPr>
              <w:instrText xml:space="preserve"> PAGEREF _Toc443404470 \h </w:instrText>
            </w:r>
            <w:r w:rsidR="004A20DC" w:rsidRPr="00BE285C">
              <w:rPr>
                <w:noProof/>
                <w:webHidden/>
                <w:sz w:val="24"/>
                <w:szCs w:val="24"/>
              </w:rPr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692A">
              <w:rPr>
                <w:noProof/>
                <w:webHidden/>
                <w:sz w:val="24"/>
                <w:szCs w:val="24"/>
              </w:rPr>
              <w:t>4</w:t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285C" w:rsidRPr="00BE285C" w:rsidRDefault="003315E9" w:rsidP="00BE285C">
          <w:pPr>
            <w:pStyle w:val="TOC1"/>
            <w:tabs>
              <w:tab w:val="left" w:pos="440"/>
              <w:tab w:val="right" w:leader="dot" w:pos="9062"/>
            </w:tabs>
            <w:spacing w:after="120" w:line="360" w:lineRule="auto"/>
            <w:rPr>
              <w:rFonts w:eastAsiaTheme="minorEastAsia"/>
              <w:noProof/>
              <w:sz w:val="24"/>
              <w:szCs w:val="24"/>
              <w:lang w:eastAsia="bg-BG"/>
            </w:rPr>
          </w:pPr>
          <w:hyperlink w:anchor="_Toc443404471" w:history="1">
            <w:r w:rsidR="00BE285C" w:rsidRPr="00BE285C">
              <w:rPr>
                <w:rStyle w:val="Hyperlink"/>
                <w:noProof/>
                <w:sz w:val="24"/>
                <w:szCs w:val="24"/>
              </w:rPr>
              <w:t>4.</w:t>
            </w:r>
            <w:r w:rsidR="00BE285C" w:rsidRPr="00BE285C">
              <w:rPr>
                <w:rFonts w:eastAsiaTheme="minorEastAsia"/>
                <w:noProof/>
                <w:sz w:val="24"/>
                <w:szCs w:val="24"/>
                <w:lang w:eastAsia="bg-BG"/>
              </w:rPr>
              <w:tab/>
            </w:r>
            <w:r w:rsidR="00BE285C" w:rsidRPr="00BE285C">
              <w:rPr>
                <w:rStyle w:val="Hyperlink"/>
                <w:noProof/>
                <w:sz w:val="24"/>
                <w:szCs w:val="24"/>
              </w:rPr>
              <w:t>Необходима информация и обратна връзка</w:t>
            </w:r>
            <w:r w:rsidR="00BE285C" w:rsidRPr="00BE285C">
              <w:rPr>
                <w:noProof/>
                <w:webHidden/>
                <w:sz w:val="24"/>
                <w:szCs w:val="24"/>
              </w:rPr>
              <w:tab/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begin"/>
            </w:r>
            <w:r w:rsidR="00BE285C" w:rsidRPr="00BE285C">
              <w:rPr>
                <w:noProof/>
                <w:webHidden/>
                <w:sz w:val="24"/>
                <w:szCs w:val="24"/>
              </w:rPr>
              <w:instrText xml:space="preserve"> PAGEREF _Toc443404471 \h </w:instrText>
            </w:r>
            <w:r w:rsidR="004A20DC" w:rsidRPr="00BE285C">
              <w:rPr>
                <w:noProof/>
                <w:webHidden/>
                <w:sz w:val="24"/>
                <w:szCs w:val="24"/>
              </w:rPr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692A">
              <w:rPr>
                <w:noProof/>
                <w:webHidden/>
                <w:sz w:val="24"/>
                <w:szCs w:val="24"/>
              </w:rPr>
              <w:t>8</w:t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285C" w:rsidRDefault="003315E9" w:rsidP="00BE285C">
          <w:pPr>
            <w:pStyle w:val="TOC1"/>
            <w:tabs>
              <w:tab w:val="left" w:pos="440"/>
              <w:tab w:val="right" w:leader="dot" w:pos="9062"/>
            </w:tabs>
            <w:spacing w:after="120" w:line="360" w:lineRule="auto"/>
            <w:rPr>
              <w:rFonts w:eastAsiaTheme="minorEastAsia"/>
              <w:noProof/>
              <w:lang w:eastAsia="bg-BG"/>
            </w:rPr>
          </w:pPr>
          <w:hyperlink w:anchor="_Toc443404472" w:history="1">
            <w:r w:rsidR="00BE285C" w:rsidRPr="00BE285C">
              <w:rPr>
                <w:rStyle w:val="Hyperlink"/>
                <w:noProof/>
                <w:sz w:val="24"/>
                <w:szCs w:val="24"/>
              </w:rPr>
              <w:t>5.</w:t>
            </w:r>
            <w:r w:rsidR="00BE285C" w:rsidRPr="00BE285C">
              <w:rPr>
                <w:rFonts w:eastAsiaTheme="minorEastAsia"/>
                <w:noProof/>
                <w:sz w:val="24"/>
                <w:szCs w:val="24"/>
                <w:lang w:eastAsia="bg-BG"/>
              </w:rPr>
              <w:tab/>
            </w:r>
            <w:r w:rsidR="00BE285C" w:rsidRPr="00BE285C">
              <w:rPr>
                <w:rStyle w:val="Hyperlink"/>
                <w:noProof/>
                <w:sz w:val="24"/>
                <w:szCs w:val="24"/>
              </w:rPr>
              <w:t>Мотиви за дарителство</w:t>
            </w:r>
            <w:r w:rsidR="00BE285C" w:rsidRPr="00BE285C">
              <w:rPr>
                <w:noProof/>
                <w:webHidden/>
                <w:sz w:val="24"/>
                <w:szCs w:val="24"/>
              </w:rPr>
              <w:tab/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begin"/>
            </w:r>
            <w:r w:rsidR="00BE285C" w:rsidRPr="00BE285C">
              <w:rPr>
                <w:noProof/>
                <w:webHidden/>
                <w:sz w:val="24"/>
                <w:szCs w:val="24"/>
              </w:rPr>
              <w:instrText xml:space="preserve"> PAGEREF _Toc443404472 \h </w:instrText>
            </w:r>
            <w:r w:rsidR="004A20DC" w:rsidRPr="00BE285C">
              <w:rPr>
                <w:noProof/>
                <w:webHidden/>
                <w:sz w:val="24"/>
                <w:szCs w:val="24"/>
              </w:rPr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692A">
              <w:rPr>
                <w:noProof/>
                <w:webHidden/>
                <w:sz w:val="24"/>
                <w:szCs w:val="24"/>
              </w:rPr>
              <w:t>9</w:t>
            </w:r>
            <w:r w:rsidR="004A20DC" w:rsidRPr="00BE285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285C" w:rsidRDefault="004A20DC" w:rsidP="00BE285C">
          <w:pPr>
            <w:spacing w:after="120"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7A402A" w:rsidRDefault="007A402A"/>
    <w:p w:rsidR="007A402A" w:rsidRDefault="007A402A">
      <w:r>
        <w:br w:type="page"/>
      </w:r>
    </w:p>
    <w:p w:rsidR="00614A5C" w:rsidRDefault="00614A5C" w:rsidP="0094570C">
      <w:pPr>
        <w:pStyle w:val="Heading1"/>
        <w:numPr>
          <w:ilvl w:val="0"/>
          <w:numId w:val="1"/>
        </w:numPr>
        <w:spacing w:before="120" w:after="120" w:line="360" w:lineRule="auto"/>
      </w:pPr>
      <w:bookmarkStart w:id="1" w:name="_Toc443404468"/>
      <w:r>
        <w:lastRenderedPageBreak/>
        <w:t>Управленско резюме</w:t>
      </w:r>
      <w:bookmarkEnd w:id="1"/>
    </w:p>
    <w:p w:rsidR="00A132DA" w:rsidRPr="00BE285C" w:rsidRDefault="00614A5C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Резултатите от изследването дават основание за оптимизъм по отношение развитието на дарителската култура и в частност дарителството от работното място сред представителите на корпоративния сектор у нас. Причина за това е както високият дял на големите фирми (3 от 4), чиито служители са дарявали през последната година от работното си място, така и осъзнатото активно участие на самите фирми в дарителските акции (където 85% от от фирмите с дарителска практика допълват събраните от служителите суми). Най-позитивното откритие е, че за близо 2/3 от изследваните фирми дарителството от работното място е устойчива практика, а не ад-хок решение.</w:t>
      </w:r>
    </w:p>
    <w:p w:rsidR="00614A5C" w:rsidRDefault="00614A5C" w:rsidP="0094570C">
      <w:pPr>
        <w:pStyle w:val="Heading1"/>
        <w:numPr>
          <w:ilvl w:val="0"/>
          <w:numId w:val="1"/>
        </w:numPr>
        <w:spacing w:before="120" w:after="120" w:line="360" w:lineRule="auto"/>
      </w:pPr>
      <w:bookmarkStart w:id="2" w:name="_Toc443404469"/>
      <w:r w:rsidRPr="00614A5C">
        <w:t>Методология</w:t>
      </w:r>
      <w:bookmarkEnd w:id="2"/>
    </w:p>
    <w:p w:rsidR="00D85591" w:rsidRPr="00BE285C" w:rsidRDefault="009D3117" w:rsidP="00D85591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Изследването е проведено през декември 2015 и януари 2016</w:t>
      </w:r>
      <w:r w:rsidR="00D85591" w:rsidRPr="00BE285C">
        <w:rPr>
          <w:sz w:val="24"/>
          <w:szCs w:val="24"/>
        </w:rPr>
        <w:t>. Осъществен е контакт с покана за участие в изследванетос</w:t>
      </w:r>
      <w:r w:rsidRPr="00BE285C">
        <w:rPr>
          <w:sz w:val="24"/>
          <w:szCs w:val="24"/>
        </w:rPr>
        <w:t xml:space="preserve"> над 300 водещи по печалба компании на територията на страната, големи работодатели и рекламодатели в България. Реализираната извадка е 38 фирми. Методът за събиране на данни е онлайн анкета за самостоятелно попълване, качена на платформата Survey Monkey.</w:t>
      </w:r>
      <w:r w:rsidR="00D85591" w:rsidRPr="00BE285C">
        <w:rPr>
          <w:sz w:val="24"/>
          <w:szCs w:val="24"/>
        </w:rPr>
        <w:t xml:space="preserve"> Фирмите взели участие в изследването са предимно големи - общият брой заети в тях е над 30 000, а средният брой служители е близо 1000</w:t>
      </w:r>
      <w:r w:rsidR="00BE285C" w:rsidRPr="00BE285C">
        <w:rPr>
          <w:sz w:val="24"/>
          <w:szCs w:val="24"/>
        </w:rPr>
        <w:t xml:space="preserve"> (Графика 1)</w:t>
      </w:r>
      <w:r w:rsidR="00D85591" w:rsidRPr="00BE285C">
        <w:rPr>
          <w:sz w:val="24"/>
          <w:szCs w:val="24"/>
        </w:rPr>
        <w:t>.</w:t>
      </w:r>
      <w:r w:rsidR="00CC65B8" w:rsidRPr="00BE285C">
        <w:rPr>
          <w:sz w:val="24"/>
          <w:szCs w:val="24"/>
        </w:rPr>
        <w:t xml:space="preserve"> Отраслите, в които оперират изследваните компании са </w:t>
      </w:r>
      <w:r w:rsidR="00BE285C" w:rsidRPr="00BE285C">
        <w:rPr>
          <w:sz w:val="24"/>
          <w:szCs w:val="24"/>
        </w:rPr>
        <w:t xml:space="preserve">фармация, производство на строителни материали, финанси, </w:t>
      </w:r>
      <w:r w:rsidR="00CC65B8" w:rsidRPr="00BE285C">
        <w:rPr>
          <w:sz w:val="24"/>
          <w:szCs w:val="24"/>
        </w:rPr>
        <w:t>телекомуникации, металодобив, търговия с автомобили, електроинструменти и оборудване, производство на храни и напитки и др.</w:t>
      </w:r>
    </w:p>
    <w:p w:rsidR="00B4111D" w:rsidRDefault="00B4111D" w:rsidP="00B4111D">
      <w:pPr>
        <w:pStyle w:val="Caption"/>
        <w:keepNext/>
        <w:jc w:val="left"/>
      </w:pPr>
      <w:r>
        <w:lastRenderedPageBreak/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1</w:t>
      </w:r>
      <w:r w:rsidR="004A20DC">
        <w:fldChar w:fldCharType="end"/>
      </w:r>
      <w:r>
        <w:t xml:space="preserve">: </w:t>
      </w:r>
      <w:r w:rsidRPr="00565EA3">
        <w:t>Брой служители</w:t>
      </w:r>
      <w:r>
        <w:t xml:space="preserve"> във фирмата</w:t>
      </w:r>
    </w:p>
    <w:p w:rsidR="00B4111D" w:rsidRDefault="00B4111D" w:rsidP="00B4111D">
      <w:pPr>
        <w:spacing w:line="360" w:lineRule="auto"/>
        <w:jc w:val="center"/>
      </w:pPr>
      <w:r w:rsidRPr="005B1320">
        <w:rPr>
          <w:noProof/>
          <w:lang w:val="en-US"/>
        </w:rPr>
        <w:drawing>
          <wp:inline distT="0" distB="0" distL="0" distR="0">
            <wp:extent cx="5239910" cy="2488758"/>
            <wp:effectExtent l="0" t="0" r="18415" b="2603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11D" w:rsidRPr="00B4111D" w:rsidRDefault="00B4111D" w:rsidP="00B4111D">
      <w:pPr>
        <w:spacing w:before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>N</w:t>
      </w:r>
      <w:r>
        <w:rPr>
          <w:i/>
          <w:sz w:val="16"/>
          <w:szCs w:val="16"/>
        </w:rPr>
        <w:t xml:space="preserve"> = 31</w:t>
      </w:r>
    </w:p>
    <w:p w:rsidR="00FC38E4" w:rsidRDefault="00FC38E4" w:rsidP="0094570C">
      <w:pPr>
        <w:pStyle w:val="Heading1"/>
        <w:numPr>
          <w:ilvl w:val="0"/>
          <w:numId w:val="1"/>
        </w:numPr>
        <w:spacing w:before="120" w:after="120" w:line="360" w:lineRule="auto"/>
      </w:pPr>
      <w:bookmarkStart w:id="3" w:name="_Toc443404470"/>
      <w:r>
        <w:t>Практики на дарителство от работното място</w:t>
      </w:r>
      <w:bookmarkEnd w:id="3"/>
    </w:p>
    <w:p w:rsidR="009D3117" w:rsidRPr="00BE285C" w:rsidRDefault="009D3117" w:rsidP="0094570C">
      <w:pPr>
        <w:pStyle w:val="NormalWeb"/>
        <w:spacing w:before="120" w:beforeAutospacing="0" w:after="120" w:afterAutospacing="0"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E285C">
        <w:rPr>
          <w:rFonts w:asciiTheme="minorHAnsi" w:eastAsiaTheme="minorHAnsi" w:hAnsiTheme="minorHAnsi" w:cstheme="minorBidi"/>
          <w:lang w:eastAsia="en-US"/>
        </w:rPr>
        <w:t>Всеки три от четири фирми заявяват, че техните служители са дарявали пари от работнотомясто през последната година</w:t>
      </w:r>
      <w:r w:rsidR="00BE285C" w:rsidRPr="00BE285C">
        <w:rPr>
          <w:rFonts w:asciiTheme="minorHAnsi" w:eastAsiaTheme="minorHAnsi" w:hAnsiTheme="minorHAnsi" w:cstheme="minorBidi"/>
          <w:lang w:eastAsia="en-US"/>
        </w:rPr>
        <w:t xml:space="preserve"> (Графика 2)</w:t>
      </w:r>
      <w:r w:rsidRPr="00BE285C">
        <w:rPr>
          <w:rFonts w:asciiTheme="minorHAnsi" w:eastAsiaTheme="minorHAnsi" w:hAnsiTheme="minorHAnsi" w:cstheme="minorBidi"/>
          <w:lang w:eastAsia="en-US"/>
        </w:rPr>
        <w:t>.</w:t>
      </w:r>
    </w:p>
    <w:p w:rsidR="00565EA3" w:rsidRPr="0094570C" w:rsidRDefault="00565EA3" w:rsidP="0094570C">
      <w:pPr>
        <w:pStyle w:val="Caption"/>
        <w:keepNext/>
        <w:spacing w:before="120" w:after="120" w:line="360" w:lineRule="auto"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2</w:t>
      </w:r>
      <w:r w:rsidR="004A20DC">
        <w:fldChar w:fldCharType="end"/>
      </w:r>
      <w:r>
        <w:rPr>
          <w:lang w:val="en-US"/>
        </w:rPr>
        <w:t xml:space="preserve">: </w:t>
      </w:r>
      <w:r w:rsidR="0094570C">
        <w:t>Дял на фирмите, чийто служители са дарявали пари от работното място</w:t>
      </w:r>
    </w:p>
    <w:p w:rsidR="009D3117" w:rsidRDefault="009D3117" w:rsidP="00B624BC">
      <w:pPr>
        <w:spacing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4492486" cy="2544418"/>
            <wp:effectExtent l="0" t="0" r="22860" b="279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EA3" w:rsidRDefault="00565EA3" w:rsidP="0094570C">
      <w:pPr>
        <w:spacing w:after="120" w:line="360" w:lineRule="auto"/>
        <w:jc w:val="left"/>
        <w:rPr>
          <w:i/>
          <w:sz w:val="16"/>
          <w:szCs w:val="16"/>
        </w:rPr>
      </w:pPr>
      <w:r w:rsidRPr="00565EA3">
        <w:rPr>
          <w:i/>
          <w:sz w:val="16"/>
          <w:szCs w:val="16"/>
        </w:rPr>
        <w:t>Служителите на вашата компания дарявали ли са пари от работното място през последната година?</w:t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N=38</w:t>
      </w:r>
    </w:p>
    <w:p w:rsidR="006B23B7" w:rsidRPr="00BE285C" w:rsidRDefault="006B23B7" w:rsidP="006B23B7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Съвкупността от фирми, взели участие в изследването е на практика разделена по отношение на дела на дарителите – за по-голямата част (близо 2/3) този дял е до 30%. В близо 1/3 от фирмите, делът на дарителите е над 70%</w:t>
      </w:r>
      <w:r w:rsidR="00BE285C" w:rsidRPr="00BE285C">
        <w:rPr>
          <w:sz w:val="24"/>
          <w:szCs w:val="24"/>
        </w:rPr>
        <w:t xml:space="preserve"> (Графика 3).</w:t>
      </w:r>
    </w:p>
    <w:p w:rsidR="00B4111D" w:rsidRDefault="00B4111D" w:rsidP="00B4111D">
      <w:pPr>
        <w:pStyle w:val="Caption"/>
        <w:keepNext/>
        <w:jc w:val="left"/>
      </w:pPr>
      <w:r>
        <w:lastRenderedPageBreak/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3</w:t>
      </w:r>
      <w:r w:rsidR="004A20DC">
        <w:fldChar w:fldCharType="end"/>
      </w:r>
      <w:r>
        <w:t>: Дял на дарителите във фирмата</w:t>
      </w:r>
    </w:p>
    <w:p w:rsidR="00B4111D" w:rsidRDefault="00B4111D" w:rsidP="00B4111D">
      <w:pPr>
        <w:spacing w:after="120" w:line="360" w:lineRule="auto"/>
        <w:jc w:val="center"/>
      </w:pPr>
      <w:r w:rsidRPr="005B1320">
        <w:rPr>
          <w:noProof/>
          <w:lang w:val="en-US"/>
        </w:rPr>
        <w:drawing>
          <wp:inline distT="0" distB="0" distL="0" distR="0">
            <wp:extent cx="5176299" cy="2130950"/>
            <wp:effectExtent l="0" t="0" r="24765" b="2222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11D" w:rsidRPr="00B4111D" w:rsidRDefault="00B4111D" w:rsidP="00B4111D">
      <w:pPr>
        <w:spacing w:before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>N</w:t>
      </w:r>
      <w:r>
        <w:rPr>
          <w:i/>
          <w:sz w:val="16"/>
          <w:szCs w:val="16"/>
        </w:rPr>
        <w:t xml:space="preserve"> = 24</w:t>
      </w:r>
    </w:p>
    <w:p w:rsidR="006B23B7" w:rsidRPr="00BE285C" w:rsidRDefault="006B23B7" w:rsidP="006B23B7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Най разпространеният начин за даряване от работното място остава кутията за дарения. След нея са предметните дарения и преводите по банкова сметка. Всеки трети от дарителите е дарявал по ведомост (Графика 4).</w:t>
      </w:r>
    </w:p>
    <w:p w:rsidR="0094570C" w:rsidRDefault="0094570C" w:rsidP="0094570C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4</w:t>
      </w:r>
      <w:r w:rsidR="004A20DC">
        <w:fldChar w:fldCharType="end"/>
      </w:r>
      <w:r>
        <w:t>: Начини на даряване на пари от работтното място</w:t>
      </w:r>
    </w:p>
    <w:p w:rsidR="00565EA3" w:rsidRDefault="009D3117" w:rsidP="0094570C">
      <w:pPr>
        <w:spacing w:line="360" w:lineRule="auto"/>
        <w:jc w:val="center"/>
        <w:rPr>
          <w:lang w:val="en-US"/>
        </w:rPr>
      </w:pPr>
      <w:r w:rsidRPr="009D3117">
        <w:rPr>
          <w:noProof/>
          <w:lang w:val="en-US"/>
        </w:rPr>
        <w:drawing>
          <wp:inline distT="0" distB="0" distL="0" distR="0">
            <wp:extent cx="4866199" cy="2361538"/>
            <wp:effectExtent l="0" t="0" r="10795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3117" w:rsidRPr="00565EA3" w:rsidRDefault="00565EA3" w:rsidP="0094570C">
      <w:pPr>
        <w:spacing w:before="0" w:line="360" w:lineRule="auto"/>
        <w:jc w:val="left"/>
        <w:rPr>
          <w:i/>
          <w:sz w:val="16"/>
          <w:szCs w:val="16"/>
          <w:lang w:val="en-US"/>
        </w:rPr>
      </w:pPr>
      <w:r w:rsidRPr="00565EA3">
        <w:rPr>
          <w:i/>
          <w:sz w:val="16"/>
          <w:szCs w:val="16"/>
        </w:rPr>
        <w:t>Как беше организирана акцията?</w:t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>N = 29</w:t>
      </w:r>
    </w:p>
    <w:p w:rsidR="009D3117" w:rsidRPr="00BE285C" w:rsidRDefault="009D3117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Близо 2/3 от компаниите осъществяват дарителство от работното място по програма, организирано самостоятелно от служителите или от компанията</w:t>
      </w:r>
      <w:r w:rsidR="006B23B7" w:rsidRPr="00BE285C">
        <w:rPr>
          <w:sz w:val="24"/>
          <w:szCs w:val="24"/>
        </w:rPr>
        <w:t xml:space="preserve"> (Графика 5)</w:t>
      </w:r>
      <w:r w:rsidRPr="00BE285C">
        <w:rPr>
          <w:sz w:val="24"/>
          <w:szCs w:val="24"/>
        </w:rPr>
        <w:t>.</w:t>
      </w:r>
    </w:p>
    <w:p w:rsidR="0094570C" w:rsidRDefault="0094570C" w:rsidP="0094570C">
      <w:pPr>
        <w:pStyle w:val="Caption"/>
        <w:keepNext/>
        <w:jc w:val="left"/>
      </w:pPr>
      <w:r>
        <w:lastRenderedPageBreak/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5</w:t>
      </w:r>
      <w:r w:rsidR="004A20DC">
        <w:fldChar w:fldCharType="end"/>
      </w:r>
      <w:r>
        <w:t>: Наличие на програма за дарителство на работното място във фирмите</w:t>
      </w:r>
    </w:p>
    <w:p w:rsidR="009D3117" w:rsidRDefault="009D3117" w:rsidP="0094570C">
      <w:pPr>
        <w:spacing w:before="0"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4699221" cy="2488759"/>
            <wp:effectExtent l="0" t="0" r="25400" b="260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570C" w:rsidRPr="009F55BD" w:rsidRDefault="0094570C" w:rsidP="0094570C">
      <w:pPr>
        <w:spacing w:before="0" w:line="360" w:lineRule="auto"/>
        <w:jc w:val="left"/>
        <w:rPr>
          <w:i/>
          <w:sz w:val="16"/>
          <w:szCs w:val="16"/>
        </w:rPr>
      </w:pPr>
      <w:r w:rsidRPr="0094570C">
        <w:rPr>
          <w:i/>
          <w:sz w:val="16"/>
          <w:szCs w:val="16"/>
        </w:rPr>
        <w:t>По принцип има ли вашата компания програма за дарителство на работното място?</w:t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 xml:space="preserve">N = </w:t>
      </w:r>
      <w:r w:rsidR="009F55BD">
        <w:rPr>
          <w:i/>
          <w:sz w:val="16"/>
          <w:szCs w:val="16"/>
        </w:rPr>
        <w:t>38</w:t>
      </w:r>
    </w:p>
    <w:p w:rsidR="009D3117" w:rsidRPr="00BE285C" w:rsidRDefault="009D3117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Във всяка четвърта компания дарителството е регулярно (по ведомост).</w:t>
      </w:r>
      <w:r w:rsidR="0094570C" w:rsidRPr="00BE285C">
        <w:rPr>
          <w:sz w:val="24"/>
          <w:szCs w:val="24"/>
        </w:rPr>
        <w:t xml:space="preserve"> В над половината от изследваните компании дарителството от страна на служителите се осъществява два пъти и повече годишно</w:t>
      </w:r>
      <w:r w:rsidR="006B23B7" w:rsidRPr="00BE285C">
        <w:rPr>
          <w:sz w:val="24"/>
          <w:szCs w:val="24"/>
        </w:rPr>
        <w:t xml:space="preserve"> (Графика 6)</w:t>
      </w:r>
      <w:r w:rsidR="0094570C" w:rsidRPr="00BE285C">
        <w:rPr>
          <w:sz w:val="24"/>
          <w:szCs w:val="24"/>
        </w:rPr>
        <w:t>.</w:t>
      </w:r>
    </w:p>
    <w:p w:rsidR="009F55BD" w:rsidRDefault="009F55BD" w:rsidP="009F55BD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6</w:t>
      </w:r>
      <w:r w:rsidR="004A20DC">
        <w:fldChar w:fldCharType="end"/>
      </w:r>
      <w:r>
        <w:t>: Честота на даряване</w:t>
      </w:r>
    </w:p>
    <w:p w:rsidR="00FC38E4" w:rsidRDefault="00FC38E4" w:rsidP="0094570C">
      <w:pPr>
        <w:spacing w:before="0" w:line="360" w:lineRule="auto"/>
        <w:jc w:val="center"/>
      </w:pPr>
      <w:r w:rsidRPr="00FC38E4">
        <w:rPr>
          <w:noProof/>
          <w:lang w:val="en-US"/>
        </w:rPr>
        <w:drawing>
          <wp:inline distT="0" distB="0" distL="0" distR="0">
            <wp:extent cx="4882101" cy="2552369"/>
            <wp:effectExtent l="0" t="0" r="13970" b="1968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70C" w:rsidRPr="009F55BD" w:rsidRDefault="0094570C" w:rsidP="0094570C">
      <w:pPr>
        <w:spacing w:before="0" w:line="360" w:lineRule="auto"/>
        <w:jc w:val="left"/>
        <w:rPr>
          <w:i/>
          <w:sz w:val="16"/>
          <w:szCs w:val="16"/>
        </w:rPr>
      </w:pPr>
      <w:r w:rsidRPr="0094570C">
        <w:rPr>
          <w:i/>
          <w:sz w:val="16"/>
          <w:szCs w:val="16"/>
        </w:rPr>
        <w:t>Колко често даряват служителите Ви?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 xml:space="preserve">N = </w:t>
      </w:r>
      <w:r w:rsidR="009F55BD">
        <w:rPr>
          <w:i/>
          <w:sz w:val="16"/>
          <w:szCs w:val="16"/>
        </w:rPr>
        <w:t>36</w:t>
      </w:r>
    </w:p>
    <w:p w:rsidR="009D3117" w:rsidRPr="00BE285C" w:rsidRDefault="00E47401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 xml:space="preserve">По отношение на дарителството </w:t>
      </w:r>
      <w:r w:rsidRPr="00BE285C">
        <w:rPr>
          <w:sz w:val="24"/>
          <w:szCs w:val="24"/>
          <w:lang w:val="en-US"/>
        </w:rPr>
        <w:t xml:space="preserve">PR </w:t>
      </w:r>
      <w:r w:rsidRPr="00BE285C">
        <w:rPr>
          <w:sz w:val="24"/>
          <w:szCs w:val="24"/>
        </w:rPr>
        <w:t>отделите постепенно са се превърнали във водещият организационен елемент в големите компании – най-често орг</w:t>
      </w:r>
      <w:r w:rsidR="009D3117" w:rsidRPr="00BE285C">
        <w:rPr>
          <w:sz w:val="24"/>
          <w:szCs w:val="24"/>
        </w:rPr>
        <w:t xml:space="preserve">анизацията на дарителството е поверена </w:t>
      </w:r>
      <w:r w:rsidRPr="00BE285C">
        <w:rPr>
          <w:sz w:val="24"/>
          <w:szCs w:val="24"/>
        </w:rPr>
        <w:t>на</w:t>
      </w:r>
      <w:r w:rsidR="009F55BD" w:rsidRPr="00BE285C">
        <w:rPr>
          <w:sz w:val="24"/>
          <w:szCs w:val="24"/>
        </w:rPr>
        <w:t>тях</w:t>
      </w:r>
      <w:r w:rsidR="009D3117" w:rsidRPr="00BE285C">
        <w:rPr>
          <w:sz w:val="24"/>
          <w:szCs w:val="24"/>
        </w:rPr>
        <w:t xml:space="preserve"> или съвместно </w:t>
      </w:r>
      <w:r w:rsidRPr="00BE285C">
        <w:rPr>
          <w:sz w:val="24"/>
          <w:szCs w:val="24"/>
        </w:rPr>
        <w:t>на</w:t>
      </w:r>
      <w:r w:rsidR="009D3117" w:rsidRPr="00BE285C">
        <w:rPr>
          <w:sz w:val="24"/>
          <w:szCs w:val="24"/>
        </w:rPr>
        <w:t xml:space="preserve"> PR и HR отделите.</w:t>
      </w:r>
      <w:r w:rsidRPr="00BE285C">
        <w:rPr>
          <w:sz w:val="24"/>
          <w:szCs w:val="24"/>
        </w:rPr>
        <w:t xml:space="preserve"> Едва в 1 от 6 компании </w:t>
      </w:r>
      <w:r w:rsidRPr="00BE285C">
        <w:rPr>
          <w:sz w:val="24"/>
          <w:szCs w:val="24"/>
          <w:lang w:val="en-US"/>
        </w:rPr>
        <w:t xml:space="preserve">HR </w:t>
      </w:r>
      <w:r w:rsidRPr="00BE285C">
        <w:rPr>
          <w:sz w:val="24"/>
          <w:szCs w:val="24"/>
        </w:rPr>
        <w:t>отделите са водещи, а в 1 от 8 тази задача се изпълнява от друг отдел (администрация, финанси и счетоводство)</w:t>
      </w:r>
      <w:r w:rsidR="006B23B7" w:rsidRPr="00BE285C">
        <w:rPr>
          <w:sz w:val="24"/>
          <w:szCs w:val="24"/>
        </w:rPr>
        <w:t xml:space="preserve"> (Графика 7)</w:t>
      </w:r>
      <w:r w:rsidRPr="00BE285C">
        <w:rPr>
          <w:sz w:val="24"/>
          <w:szCs w:val="24"/>
        </w:rPr>
        <w:t>.</w:t>
      </w:r>
      <w:r w:rsidR="000B2FCD" w:rsidRPr="00BE285C">
        <w:rPr>
          <w:sz w:val="24"/>
          <w:szCs w:val="24"/>
        </w:rPr>
        <w:t xml:space="preserve"> Тези резултати вероятно са свързани с двата типа дарителски практики - </w:t>
      </w:r>
      <w:r w:rsidR="009509EB" w:rsidRPr="00BE285C">
        <w:rPr>
          <w:sz w:val="24"/>
          <w:szCs w:val="24"/>
        </w:rPr>
        <w:t xml:space="preserve">насочени към външна аудитория – </w:t>
      </w:r>
      <w:r w:rsidR="009509EB" w:rsidRPr="00BE285C">
        <w:rPr>
          <w:sz w:val="24"/>
          <w:szCs w:val="24"/>
        </w:rPr>
        <w:lastRenderedPageBreak/>
        <w:t>общността, обществото, където ролята на PR специалистите е ключова и насочени към вътрешна аудитория (служителите на компанията), където на преден план излиза HR отделът.</w:t>
      </w:r>
    </w:p>
    <w:p w:rsidR="009F55BD" w:rsidRDefault="009F55BD" w:rsidP="009F55BD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7</w:t>
      </w:r>
      <w:r w:rsidR="004A20DC">
        <w:fldChar w:fldCharType="end"/>
      </w:r>
      <w:r>
        <w:t>: Организатор на дарителството</w:t>
      </w:r>
    </w:p>
    <w:p w:rsidR="009D3117" w:rsidRDefault="009D3117" w:rsidP="00E47401">
      <w:pPr>
        <w:spacing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5176300" cy="2560320"/>
            <wp:effectExtent l="0" t="0" r="24765" b="114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570C" w:rsidRPr="009F55BD" w:rsidRDefault="0094570C" w:rsidP="0094570C">
      <w:pPr>
        <w:spacing w:before="0" w:line="360" w:lineRule="auto"/>
        <w:jc w:val="left"/>
        <w:rPr>
          <w:i/>
          <w:sz w:val="16"/>
          <w:szCs w:val="16"/>
        </w:rPr>
      </w:pPr>
      <w:r w:rsidRPr="0094570C">
        <w:rPr>
          <w:i/>
          <w:sz w:val="16"/>
          <w:szCs w:val="16"/>
        </w:rPr>
        <w:t>Кой организира дарителството?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  <w:lang w:val="en-US"/>
        </w:rPr>
        <w:tab/>
      </w:r>
      <w:r>
        <w:rPr>
          <w:i/>
          <w:sz w:val="16"/>
          <w:szCs w:val="16"/>
        </w:rPr>
        <w:t xml:space="preserve">База: </w:t>
      </w:r>
      <w:r>
        <w:rPr>
          <w:i/>
          <w:sz w:val="16"/>
          <w:szCs w:val="16"/>
          <w:lang w:val="en-US"/>
        </w:rPr>
        <w:t xml:space="preserve">N = </w:t>
      </w:r>
      <w:r w:rsidR="009F55BD">
        <w:rPr>
          <w:i/>
          <w:sz w:val="16"/>
          <w:szCs w:val="16"/>
        </w:rPr>
        <w:t>33</w:t>
      </w:r>
    </w:p>
    <w:p w:rsidR="009D3117" w:rsidRPr="00BE285C" w:rsidRDefault="00AB6416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Участието на фирмите в дарителските инициативи е показателно както за организационната култура, така и за нивото на развитие на благотворителността. В този смисъл е обнадеждаващо, че 85% от участвалите в изследването фирми</w:t>
      </w:r>
      <w:r w:rsidR="009D3117" w:rsidRPr="00BE285C">
        <w:rPr>
          <w:sz w:val="24"/>
          <w:szCs w:val="24"/>
        </w:rPr>
        <w:t xml:space="preserve"> отпускат допълнително средства към събраните в благотворителните акции</w:t>
      </w:r>
      <w:r w:rsidR="006B23B7" w:rsidRPr="00BE285C">
        <w:rPr>
          <w:sz w:val="24"/>
          <w:szCs w:val="24"/>
        </w:rPr>
        <w:t xml:space="preserve"> (Графика 8)</w:t>
      </w:r>
      <w:r w:rsidR="009D3117" w:rsidRPr="00BE285C">
        <w:rPr>
          <w:sz w:val="24"/>
          <w:szCs w:val="24"/>
        </w:rPr>
        <w:t>.</w:t>
      </w:r>
      <w:r w:rsidR="00147259" w:rsidRPr="00BE285C">
        <w:rPr>
          <w:sz w:val="24"/>
          <w:szCs w:val="24"/>
        </w:rPr>
        <w:t xml:space="preserve"> Все пак, важно е да се направи уговорката, че участвалите в изследването са сред най-големите и активни компании, опериращи в България. По отношение на благотворителността, те могат да се причислят към условната група на „Обичайните заподозрени“ – големи и солидни местни и международни фирми, с изграден публичен образ, които оперират на световния пазар и в чиито комуникационни стратегии или концепции за корпоративна социална отговорност дарителството се явява интегрална и неотменна част.</w:t>
      </w:r>
    </w:p>
    <w:p w:rsidR="00147259" w:rsidRPr="00BE285C" w:rsidRDefault="00D85591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 xml:space="preserve">Водещият мотив за фирмите, които не развиват благотворителност (в това число и тези 15% от изследваните фирми, </w:t>
      </w:r>
      <w:r w:rsidR="00147259" w:rsidRPr="00BE285C">
        <w:rPr>
          <w:sz w:val="24"/>
          <w:szCs w:val="24"/>
        </w:rPr>
        <w:t>които не участват в дарителските акции на служителите си</w:t>
      </w:r>
      <w:r w:rsidRPr="00BE285C">
        <w:rPr>
          <w:sz w:val="24"/>
          <w:szCs w:val="24"/>
        </w:rPr>
        <w:t>)</w:t>
      </w:r>
      <w:r w:rsidR="00147259" w:rsidRPr="00BE285C">
        <w:rPr>
          <w:sz w:val="24"/>
          <w:szCs w:val="24"/>
        </w:rPr>
        <w:t xml:space="preserve">, </w:t>
      </w:r>
      <w:r w:rsidRPr="00BE285C">
        <w:rPr>
          <w:sz w:val="24"/>
          <w:szCs w:val="24"/>
        </w:rPr>
        <w:t xml:space="preserve">е лошото финансово състояние и липсата на свободни средства. Друга причина е недоверието към </w:t>
      </w:r>
      <w:r w:rsidR="00BF258B" w:rsidRPr="00BE285C">
        <w:rPr>
          <w:sz w:val="24"/>
          <w:szCs w:val="24"/>
        </w:rPr>
        <w:t>благотворителните инициативи, по специално начинът, по-който се изразходват събраните средства.</w:t>
      </w:r>
    </w:p>
    <w:p w:rsidR="009F55BD" w:rsidRDefault="009F55BD" w:rsidP="009F55BD">
      <w:pPr>
        <w:pStyle w:val="Caption"/>
        <w:keepNext/>
        <w:jc w:val="left"/>
      </w:pPr>
      <w:r>
        <w:lastRenderedPageBreak/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8</w:t>
      </w:r>
      <w:r w:rsidR="004A20DC">
        <w:fldChar w:fldCharType="end"/>
      </w:r>
      <w:r>
        <w:t xml:space="preserve">: </w:t>
      </w:r>
      <w:r w:rsidR="00AB6416">
        <w:t>Участие на фирмата в дарителските акции</w:t>
      </w:r>
    </w:p>
    <w:p w:rsidR="009D3117" w:rsidRDefault="009D3117" w:rsidP="00AB6416">
      <w:pPr>
        <w:spacing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4659465" cy="2480807"/>
            <wp:effectExtent l="0" t="0" r="27305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55BD" w:rsidRPr="009F55BD" w:rsidRDefault="009F55BD" w:rsidP="009F55BD">
      <w:pPr>
        <w:spacing w:before="0" w:line="360" w:lineRule="auto"/>
        <w:jc w:val="left"/>
        <w:rPr>
          <w:i/>
          <w:sz w:val="16"/>
          <w:szCs w:val="16"/>
        </w:rPr>
      </w:pPr>
      <w:r w:rsidRPr="009F55BD">
        <w:rPr>
          <w:i/>
          <w:sz w:val="16"/>
          <w:szCs w:val="16"/>
        </w:rPr>
        <w:t>Фирмата участва ли с пари в дарителските акции?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</w:t>
      </w:r>
      <w:r>
        <w:rPr>
          <w:i/>
          <w:sz w:val="16"/>
          <w:szCs w:val="16"/>
        </w:rPr>
        <w:t>33</w:t>
      </w:r>
    </w:p>
    <w:p w:rsidR="009D124C" w:rsidRPr="00BE285C" w:rsidRDefault="009D124C" w:rsidP="009D124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 xml:space="preserve">За </w:t>
      </w:r>
      <w:r w:rsidR="00BF258B" w:rsidRPr="00BE285C">
        <w:rPr>
          <w:sz w:val="24"/>
          <w:szCs w:val="24"/>
        </w:rPr>
        <w:t>девет отдесет</w:t>
      </w:r>
      <w:r w:rsidRPr="00BE285C">
        <w:rPr>
          <w:sz w:val="24"/>
          <w:szCs w:val="24"/>
        </w:rPr>
        <w:t xml:space="preserve"> фирми – дарители размерът на събраните суми е над 1000 лв., а във всяка </w:t>
      </w:r>
      <w:r w:rsidR="00BF258B" w:rsidRPr="00BE285C">
        <w:rPr>
          <w:sz w:val="24"/>
          <w:szCs w:val="24"/>
        </w:rPr>
        <w:t>осма</w:t>
      </w:r>
      <w:r w:rsidRPr="00BE285C">
        <w:rPr>
          <w:sz w:val="24"/>
          <w:szCs w:val="24"/>
        </w:rPr>
        <w:t xml:space="preserve"> фирма служителите събират наистина големи суми – над 10 000 лева годишно</w:t>
      </w:r>
      <w:r w:rsidR="00BF258B" w:rsidRPr="00BE285C">
        <w:rPr>
          <w:sz w:val="24"/>
          <w:szCs w:val="24"/>
        </w:rPr>
        <w:t xml:space="preserve"> (Графика 9)</w:t>
      </w:r>
      <w:r w:rsidRPr="00BE285C">
        <w:rPr>
          <w:sz w:val="24"/>
          <w:szCs w:val="24"/>
        </w:rPr>
        <w:t>.</w:t>
      </w:r>
    </w:p>
    <w:p w:rsidR="009D124C" w:rsidRDefault="009D124C" w:rsidP="009D124C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9</w:t>
      </w:r>
      <w:r w:rsidR="004A20DC">
        <w:fldChar w:fldCharType="end"/>
      </w:r>
      <w:r>
        <w:t>: Размер на събраните от служителите суми за дарения</w:t>
      </w:r>
    </w:p>
    <w:p w:rsidR="009D124C" w:rsidRDefault="009D124C" w:rsidP="009D124C">
      <w:pPr>
        <w:spacing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4985468" cy="2600076"/>
            <wp:effectExtent l="0" t="0" r="24765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124C" w:rsidRPr="009F55BD" w:rsidRDefault="009D124C" w:rsidP="009D124C">
      <w:pPr>
        <w:spacing w:before="0" w:line="360" w:lineRule="auto"/>
        <w:jc w:val="left"/>
        <w:rPr>
          <w:i/>
          <w:sz w:val="16"/>
          <w:szCs w:val="16"/>
        </w:rPr>
      </w:pPr>
      <w:r w:rsidRPr="00DE210C">
        <w:rPr>
          <w:i/>
          <w:sz w:val="16"/>
          <w:szCs w:val="16"/>
        </w:rPr>
        <w:t>Каква е годишната събрана сума от дарения от вашите служители?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</w:t>
      </w:r>
      <w:r>
        <w:rPr>
          <w:i/>
          <w:sz w:val="16"/>
          <w:szCs w:val="16"/>
        </w:rPr>
        <w:t>32</w:t>
      </w:r>
    </w:p>
    <w:p w:rsidR="00F51AD0" w:rsidRDefault="00F51AD0" w:rsidP="00F51AD0">
      <w:pPr>
        <w:pStyle w:val="Heading1"/>
        <w:numPr>
          <w:ilvl w:val="0"/>
          <w:numId w:val="1"/>
        </w:numPr>
        <w:spacing w:before="120" w:after="120" w:line="360" w:lineRule="auto"/>
      </w:pPr>
      <w:bookmarkStart w:id="4" w:name="_Toc443404471"/>
      <w:r>
        <w:t>Необходима информация и обратна връзка</w:t>
      </w:r>
      <w:bookmarkEnd w:id="4"/>
    </w:p>
    <w:p w:rsidR="00F51AD0" w:rsidRPr="00BE285C" w:rsidRDefault="00F51AD0" w:rsidP="00F51AD0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Информацията за надеждни каузи най-важната за фирмите дарители. След нея в списъка на най-търсените форми на информация и подкрепа се нареждат начините, по които се мотивират служителите за дарителство, подкрепата от висшето ръководство и данъчните облекчения</w:t>
      </w:r>
      <w:r w:rsidR="00BF258B" w:rsidRPr="00BE285C">
        <w:rPr>
          <w:sz w:val="24"/>
          <w:szCs w:val="24"/>
        </w:rPr>
        <w:t xml:space="preserve"> (Графика 10)</w:t>
      </w:r>
      <w:r w:rsidRPr="00BE285C">
        <w:rPr>
          <w:sz w:val="24"/>
          <w:szCs w:val="24"/>
        </w:rPr>
        <w:t>.</w:t>
      </w:r>
    </w:p>
    <w:p w:rsidR="00F51AD0" w:rsidRDefault="00F51AD0" w:rsidP="00F51AD0">
      <w:pPr>
        <w:pStyle w:val="Caption"/>
        <w:keepNext/>
        <w:jc w:val="left"/>
      </w:pPr>
      <w:r>
        <w:lastRenderedPageBreak/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10</w:t>
      </w:r>
      <w:r w:rsidR="004A20DC">
        <w:fldChar w:fldCharType="end"/>
      </w:r>
      <w:r>
        <w:t xml:space="preserve">: </w:t>
      </w:r>
      <w:r w:rsidR="006B23B7">
        <w:t>Необходима информация и подкрепа за осъществяване на дарителство</w:t>
      </w:r>
    </w:p>
    <w:p w:rsidR="00F51AD0" w:rsidRDefault="00F51AD0" w:rsidP="00F51AD0">
      <w:pPr>
        <w:spacing w:line="360" w:lineRule="auto"/>
        <w:jc w:val="center"/>
      </w:pPr>
      <w:r w:rsidRPr="005B1320">
        <w:rPr>
          <w:noProof/>
          <w:lang w:val="en-US"/>
        </w:rPr>
        <w:drawing>
          <wp:inline distT="0" distB="0" distL="0" distR="0">
            <wp:extent cx="5303520" cy="2456953"/>
            <wp:effectExtent l="0" t="0" r="11430" b="1968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1AD0" w:rsidRDefault="00F51AD0" w:rsidP="00F51AD0">
      <w:pPr>
        <w:spacing w:before="0" w:line="360" w:lineRule="auto"/>
        <w:jc w:val="left"/>
        <w:rPr>
          <w:i/>
          <w:sz w:val="16"/>
          <w:szCs w:val="16"/>
        </w:rPr>
      </w:pPr>
      <w:r w:rsidRPr="009D124C">
        <w:rPr>
          <w:i/>
          <w:sz w:val="16"/>
          <w:szCs w:val="16"/>
        </w:rPr>
        <w:t xml:space="preserve">Конкретно от каква информация и подкрепа се нуждае вашата компания, </w:t>
      </w:r>
    </w:p>
    <w:p w:rsidR="00F51AD0" w:rsidRPr="009D124C" w:rsidRDefault="00F51AD0" w:rsidP="00F51AD0">
      <w:pPr>
        <w:spacing w:before="0" w:line="360" w:lineRule="auto"/>
        <w:jc w:val="left"/>
        <w:rPr>
          <w:i/>
          <w:sz w:val="16"/>
          <w:szCs w:val="16"/>
        </w:rPr>
      </w:pPr>
      <w:r w:rsidRPr="009D124C">
        <w:rPr>
          <w:i/>
          <w:sz w:val="16"/>
          <w:szCs w:val="16"/>
        </w:rPr>
        <w:t>за да осъществява дарителство от работното място?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</w:t>
      </w:r>
      <w:r>
        <w:rPr>
          <w:i/>
          <w:sz w:val="16"/>
          <w:szCs w:val="16"/>
        </w:rPr>
        <w:t xml:space="preserve"> =29</w:t>
      </w:r>
    </w:p>
    <w:p w:rsidR="009D3117" w:rsidRPr="00BE285C" w:rsidRDefault="00F9120D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 xml:space="preserve">Информацията за това къде и как се изразходват дарените средства може да мотивира допълнително или да обезкуражи дарителите. Затова не е </w:t>
      </w:r>
      <w:r w:rsidR="00147259" w:rsidRPr="00BE285C">
        <w:rPr>
          <w:sz w:val="24"/>
          <w:szCs w:val="24"/>
        </w:rPr>
        <w:t>изненада, чеименно навременната, т</w:t>
      </w:r>
      <w:r w:rsidR="009D3117" w:rsidRPr="00BE285C">
        <w:rPr>
          <w:sz w:val="24"/>
          <w:szCs w:val="24"/>
        </w:rPr>
        <w:t>екуща обратна връзка е предпочитаният начин за информиране за дарителските инициативи</w:t>
      </w:r>
      <w:r w:rsidR="00BF258B" w:rsidRPr="00BE285C">
        <w:rPr>
          <w:sz w:val="24"/>
          <w:szCs w:val="24"/>
        </w:rPr>
        <w:t xml:space="preserve"> (Графика 11)</w:t>
      </w:r>
      <w:r w:rsidR="009D3117" w:rsidRPr="00BE285C">
        <w:rPr>
          <w:sz w:val="24"/>
          <w:szCs w:val="24"/>
        </w:rPr>
        <w:t>.</w:t>
      </w:r>
    </w:p>
    <w:p w:rsidR="009D124C" w:rsidRDefault="009D124C" w:rsidP="009D124C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11</w:t>
      </w:r>
      <w:r w:rsidR="004A20DC">
        <w:fldChar w:fldCharType="end"/>
      </w:r>
      <w:r>
        <w:t>: Форми на обратна връзка за дарителските инициативи</w:t>
      </w:r>
    </w:p>
    <w:p w:rsidR="009D124C" w:rsidRDefault="009D124C" w:rsidP="009D124C">
      <w:pPr>
        <w:spacing w:before="0" w:line="360" w:lineRule="auto"/>
        <w:jc w:val="center"/>
        <w:rPr>
          <w:i/>
          <w:sz w:val="16"/>
          <w:szCs w:val="16"/>
        </w:rPr>
      </w:pPr>
      <w:r w:rsidRPr="009D3117">
        <w:rPr>
          <w:noProof/>
          <w:lang w:val="en-US"/>
        </w:rPr>
        <w:drawing>
          <wp:inline distT="0" distB="0" distL="0" distR="0">
            <wp:extent cx="4508390" cy="2472856"/>
            <wp:effectExtent l="0" t="0" r="26035" b="228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124C" w:rsidRPr="009F55BD" w:rsidRDefault="009D124C" w:rsidP="009D124C">
      <w:pPr>
        <w:spacing w:before="0" w:line="360" w:lineRule="auto"/>
        <w:jc w:val="left"/>
        <w:rPr>
          <w:i/>
          <w:sz w:val="16"/>
          <w:szCs w:val="16"/>
        </w:rPr>
      </w:pPr>
      <w:r w:rsidRPr="00F9120D">
        <w:rPr>
          <w:i/>
          <w:sz w:val="16"/>
          <w:szCs w:val="16"/>
        </w:rPr>
        <w:t>Как дарителите получават обратна връзка за дарителството си?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</w:t>
      </w:r>
      <w:r>
        <w:rPr>
          <w:i/>
          <w:sz w:val="16"/>
          <w:szCs w:val="16"/>
        </w:rPr>
        <w:t>32</w:t>
      </w:r>
    </w:p>
    <w:p w:rsidR="00F51AD0" w:rsidRDefault="00F51AD0" w:rsidP="00F51AD0">
      <w:pPr>
        <w:pStyle w:val="Heading1"/>
        <w:numPr>
          <w:ilvl w:val="0"/>
          <w:numId w:val="1"/>
        </w:numPr>
        <w:spacing w:before="120" w:after="120" w:line="360" w:lineRule="auto"/>
      </w:pPr>
      <w:bookmarkStart w:id="5" w:name="_Toc443404472"/>
      <w:r>
        <w:t>Мотиви за дарителство</w:t>
      </w:r>
      <w:bookmarkEnd w:id="5"/>
    </w:p>
    <w:p w:rsidR="009D124C" w:rsidRPr="00BE285C" w:rsidRDefault="009D124C" w:rsidP="009D124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 xml:space="preserve">В рамките на друго, качествено изследване на дарителството, проведено през 2015 г. бяха идентифицирани основните мотивационни фактори за осъществяване на дарителска дейност. Почти без изключение на равнище индивид, отключващите </w:t>
      </w:r>
      <w:r w:rsidRPr="00BE285C">
        <w:rPr>
          <w:sz w:val="24"/>
          <w:szCs w:val="24"/>
        </w:rPr>
        <w:lastRenderedPageBreak/>
        <w:t>мотиви за дарителство са по-скоро емоционални и ценностно-ориентирани (в много редки случаи са търсят рационални ползи от такова поведение):</w:t>
      </w:r>
    </w:p>
    <w:p w:rsidR="009D124C" w:rsidRPr="00BE285C" w:rsidRDefault="009D124C" w:rsidP="009D124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•</w:t>
      </w:r>
      <w:r w:rsidRPr="00BE285C">
        <w:rPr>
          <w:sz w:val="24"/>
          <w:szCs w:val="24"/>
        </w:rPr>
        <w:tab/>
        <w:t>„конкретния проблем на хората“ /бедствие, болест, увреждане/ или кауза, която е припозната като значима /спортна, културна или образователна дейност/</w:t>
      </w:r>
    </w:p>
    <w:p w:rsidR="009D124C" w:rsidRPr="00BE285C" w:rsidRDefault="009D124C" w:rsidP="009D124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•</w:t>
      </w:r>
      <w:r w:rsidRPr="00BE285C">
        <w:rPr>
          <w:sz w:val="24"/>
          <w:szCs w:val="24"/>
        </w:rPr>
        <w:tab/>
        <w:t>„конкретните хора“ или институции /общината, отбора, училището, детската градина, дома за деца/</w:t>
      </w:r>
    </w:p>
    <w:p w:rsidR="009D124C" w:rsidRPr="00BE285C" w:rsidRDefault="009D124C" w:rsidP="009D124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•</w:t>
      </w:r>
      <w:r w:rsidRPr="00BE285C">
        <w:rPr>
          <w:sz w:val="24"/>
          <w:szCs w:val="24"/>
        </w:rPr>
        <w:tab/>
        <w:t>„доверието“ или „липсата на злоупотреби“</w:t>
      </w:r>
    </w:p>
    <w:p w:rsidR="00BF258B" w:rsidRPr="00BE285C" w:rsidRDefault="009D124C" w:rsidP="00BF258B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Все пак, д</w:t>
      </w:r>
      <w:r w:rsidR="00DE210C" w:rsidRPr="00BE285C">
        <w:rPr>
          <w:sz w:val="24"/>
          <w:szCs w:val="24"/>
        </w:rPr>
        <w:t xml:space="preserve">ецата със здравословни проблеми остават </w:t>
      </w:r>
      <w:r w:rsidRPr="00BE285C">
        <w:rPr>
          <w:sz w:val="24"/>
          <w:szCs w:val="24"/>
        </w:rPr>
        <w:t xml:space="preserve">безпрекословно </w:t>
      </w:r>
      <w:r w:rsidR="00DE210C" w:rsidRPr="00BE285C">
        <w:rPr>
          <w:sz w:val="24"/>
          <w:szCs w:val="24"/>
        </w:rPr>
        <w:t>най-силният мотиватор за дарителство</w:t>
      </w:r>
      <w:r w:rsidR="00BF258B" w:rsidRPr="00BE285C">
        <w:rPr>
          <w:sz w:val="24"/>
          <w:szCs w:val="24"/>
        </w:rPr>
        <w:t xml:space="preserve"> (Графика 12)</w:t>
      </w:r>
      <w:r w:rsidR="00DE210C" w:rsidRPr="00BE285C">
        <w:rPr>
          <w:sz w:val="24"/>
          <w:szCs w:val="24"/>
        </w:rPr>
        <w:t>.</w:t>
      </w:r>
    </w:p>
    <w:p w:rsidR="00BF258B" w:rsidRPr="00BE285C" w:rsidRDefault="00BF258B" w:rsidP="00BF258B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t>От цитираното по-горе качествено изследване, става ясно, че сама по себе си каузата не е достатъчен мотив за да активизира дарителското поведение – необходим е повече от един фактор. Има два възможни сценария: често се оказва, че дарителството се активира от събитие, което дава тласък, отключващо събитие (местно или национално бедствие, широко отразен в медиите случай). Друг възможен път, чрез който може да се отключи дарителско поведение са периодичните събития – фестивали, спортни събития, празници на града, детски празници.</w:t>
      </w:r>
    </w:p>
    <w:p w:rsidR="00DE210C" w:rsidRDefault="00DE210C" w:rsidP="009D124C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12</w:t>
      </w:r>
      <w:r w:rsidR="004A20DC">
        <w:fldChar w:fldCharType="end"/>
      </w:r>
      <w:r w:rsidR="009D124C">
        <w:t>: Основни дарителски каузи</w:t>
      </w:r>
    </w:p>
    <w:p w:rsidR="00DE210C" w:rsidRDefault="00DE210C" w:rsidP="00DE210C">
      <w:pPr>
        <w:spacing w:line="360" w:lineRule="auto"/>
        <w:jc w:val="center"/>
      </w:pPr>
      <w:r w:rsidRPr="009D3117">
        <w:rPr>
          <w:noProof/>
          <w:lang w:val="en-US"/>
        </w:rPr>
        <w:drawing>
          <wp:inline distT="0" distB="0" distL="0" distR="0">
            <wp:extent cx="5597718" cy="3005593"/>
            <wp:effectExtent l="0" t="0" r="22225" b="234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E210C" w:rsidRPr="009F55BD" w:rsidRDefault="00DE210C" w:rsidP="00DE210C">
      <w:pPr>
        <w:spacing w:before="0" w:line="360" w:lineRule="auto"/>
        <w:jc w:val="left"/>
        <w:rPr>
          <w:i/>
          <w:sz w:val="16"/>
          <w:szCs w:val="16"/>
        </w:rPr>
      </w:pPr>
      <w:r w:rsidRPr="00DE210C">
        <w:rPr>
          <w:i/>
          <w:sz w:val="16"/>
          <w:szCs w:val="16"/>
        </w:rPr>
        <w:t>Какви са основните каузи, за които са дарявали служителите във фирмата?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</w:t>
      </w:r>
      <w:r w:rsidR="009D124C">
        <w:rPr>
          <w:i/>
          <w:sz w:val="16"/>
          <w:szCs w:val="16"/>
        </w:rPr>
        <w:t>30</w:t>
      </w:r>
    </w:p>
    <w:p w:rsidR="005B1320" w:rsidRPr="00BE285C" w:rsidRDefault="005B1320" w:rsidP="0094570C">
      <w:pPr>
        <w:spacing w:after="120" w:line="360" w:lineRule="auto"/>
        <w:rPr>
          <w:sz w:val="24"/>
          <w:szCs w:val="24"/>
        </w:rPr>
      </w:pPr>
      <w:r w:rsidRPr="00BE285C">
        <w:rPr>
          <w:sz w:val="24"/>
          <w:szCs w:val="24"/>
        </w:rPr>
        <w:lastRenderedPageBreak/>
        <w:t xml:space="preserve">Въпреки, че повечето фирми не планират промяна на средствата за благотворителност, </w:t>
      </w:r>
      <w:r w:rsidR="009D124C" w:rsidRPr="00BE285C">
        <w:rPr>
          <w:sz w:val="24"/>
          <w:szCs w:val="24"/>
        </w:rPr>
        <w:t xml:space="preserve">добър индикатор е, че </w:t>
      </w:r>
      <w:r w:rsidRPr="00BE285C">
        <w:rPr>
          <w:sz w:val="24"/>
          <w:szCs w:val="24"/>
        </w:rPr>
        <w:t xml:space="preserve">всяка пета </w:t>
      </w:r>
      <w:r w:rsidR="009D124C" w:rsidRPr="00BE285C">
        <w:rPr>
          <w:sz w:val="24"/>
          <w:szCs w:val="24"/>
        </w:rPr>
        <w:t>смята</w:t>
      </w:r>
      <w:r w:rsidRPr="00BE285C">
        <w:rPr>
          <w:sz w:val="24"/>
          <w:szCs w:val="24"/>
        </w:rPr>
        <w:t xml:space="preserve"> да ги увеличи</w:t>
      </w:r>
      <w:r w:rsidR="00BF258B" w:rsidRPr="00BE285C">
        <w:rPr>
          <w:sz w:val="24"/>
          <w:szCs w:val="24"/>
        </w:rPr>
        <w:t xml:space="preserve"> (Графика 13)</w:t>
      </w:r>
      <w:r w:rsidRPr="00BE285C">
        <w:rPr>
          <w:sz w:val="24"/>
          <w:szCs w:val="24"/>
        </w:rPr>
        <w:t>.</w:t>
      </w:r>
    </w:p>
    <w:p w:rsidR="009D124C" w:rsidRDefault="009D124C" w:rsidP="009D124C">
      <w:pPr>
        <w:pStyle w:val="Caption"/>
        <w:keepNext/>
        <w:jc w:val="left"/>
      </w:pPr>
      <w:r>
        <w:t xml:space="preserve">Графика </w:t>
      </w:r>
      <w:r w:rsidR="004A20DC">
        <w:fldChar w:fldCharType="begin"/>
      </w:r>
      <w:r>
        <w:instrText xml:space="preserve"> SEQ Графика \* ARABIC </w:instrText>
      </w:r>
      <w:r w:rsidR="004A20DC">
        <w:fldChar w:fldCharType="separate"/>
      </w:r>
      <w:r w:rsidR="0012692A">
        <w:rPr>
          <w:noProof/>
        </w:rPr>
        <w:t>13</w:t>
      </w:r>
      <w:r w:rsidR="004A20DC">
        <w:fldChar w:fldCharType="end"/>
      </w:r>
      <w:r>
        <w:t xml:space="preserve">: </w:t>
      </w:r>
    </w:p>
    <w:p w:rsidR="005B1320" w:rsidRDefault="005B1320" w:rsidP="009D124C">
      <w:pPr>
        <w:spacing w:line="360" w:lineRule="auto"/>
        <w:jc w:val="center"/>
      </w:pPr>
      <w:r w:rsidRPr="005B1320">
        <w:rPr>
          <w:noProof/>
          <w:lang w:val="en-US"/>
        </w:rPr>
        <w:drawing>
          <wp:inline distT="0" distB="0" distL="0" distR="0">
            <wp:extent cx="4826442" cy="2385391"/>
            <wp:effectExtent l="0" t="0" r="12700" b="152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D124C" w:rsidRDefault="009D124C" w:rsidP="009D124C">
      <w:pPr>
        <w:spacing w:before="0" w:line="360" w:lineRule="auto"/>
        <w:jc w:val="left"/>
        <w:rPr>
          <w:i/>
          <w:sz w:val="16"/>
          <w:szCs w:val="16"/>
        </w:rPr>
      </w:pPr>
      <w:r w:rsidRPr="009D124C">
        <w:rPr>
          <w:i/>
          <w:sz w:val="16"/>
          <w:szCs w:val="16"/>
        </w:rPr>
        <w:t xml:space="preserve">По отношение на дарителството кое от следните твърдения е </w:t>
      </w:r>
    </w:p>
    <w:p w:rsidR="009D124C" w:rsidRPr="009F55BD" w:rsidRDefault="009D124C" w:rsidP="009D124C">
      <w:pPr>
        <w:spacing w:before="0" w:line="360" w:lineRule="auto"/>
        <w:jc w:val="left"/>
        <w:rPr>
          <w:i/>
          <w:sz w:val="16"/>
          <w:szCs w:val="16"/>
        </w:rPr>
      </w:pPr>
      <w:r w:rsidRPr="009D124C">
        <w:rPr>
          <w:i/>
          <w:sz w:val="16"/>
          <w:szCs w:val="16"/>
        </w:rPr>
        <w:t>най-вероятно за вашата компания през следващата година?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База: </w:t>
      </w:r>
      <w:r>
        <w:rPr>
          <w:i/>
          <w:sz w:val="16"/>
          <w:szCs w:val="16"/>
          <w:lang w:val="en-US"/>
        </w:rPr>
        <w:t>N=</w:t>
      </w:r>
      <w:r>
        <w:rPr>
          <w:i/>
          <w:sz w:val="16"/>
          <w:szCs w:val="16"/>
        </w:rPr>
        <w:t>31</w:t>
      </w:r>
    </w:p>
    <w:sectPr w:rsidR="009D124C" w:rsidRPr="009F55BD" w:rsidSect="004A20D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E9" w:rsidRDefault="003315E9" w:rsidP="006537E8">
      <w:pPr>
        <w:spacing w:before="0"/>
      </w:pPr>
      <w:r>
        <w:separator/>
      </w:r>
    </w:p>
  </w:endnote>
  <w:endnote w:type="continuationSeparator" w:id="0">
    <w:p w:rsidR="003315E9" w:rsidRDefault="003315E9" w:rsidP="006537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E9" w:rsidRDefault="003315E9" w:rsidP="006537E8">
      <w:pPr>
        <w:spacing w:before="0"/>
      </w:pPr>
      <w:r>
        <w:separator/>
      </w:r>
    </w:p>
  </w:footnote>
  <w:footnote w:type="continuationSeparator" w:id="0">
    <w:p w:rsidR="003315E9" w:rsidRDefault="003315E9" w:rsidP="006537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E8" w:rsidRDefault="006537E8" w:rsidP="006537E8">
    <w:pPr>
      <w:pStyle w:val="Subtitle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5063076</wp:posOffset>
          </wp:positionH>
          <wp:positionV relativeFrom="paragraph">
            <wp:posOffset>-307092</wp:posOffset>
          </wp:positionV>
          <wp:extent cx="1383030" cy="690880"/>
          <wp:effectExtent l="0" t="0" r="7620" b="0"/>
          <wp:wrapNone/>
          <wp:docPr id="18" name="Picture 18" descr="&amp;Fcy;&amp;ocy;&amp;ncy;&amp;dcy;&amp;acy;&amp;tscy;&amp;icy;&amp;yacy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Fcy;&amp;ocy;&amp;ncy;&amp;dcy;&amp;acy;&amp;tscy;&amp;icy;&amp;yacy;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И</w:t>
    </w:r>
    <w:r w:rsidRPr="00BE285C">
      <w:t>зследване на дарителството от работното място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452F"/>
    <w:multiLevelType w:val="hybridMultilevel"/>
    <w:tmpl w:val="EB4C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C"/>
    <w:rsid w:val="000248DF"/>
    <w:rsid w:val="000B2FCD"/>
    <w:rsid w:val="000C4CC3"/>
    <w:rsid w:val="000E68ED"/>
    <w:rsid w:val="0012692A"/>
    <w:rsid w:val="00147259"/>
    <w:rsid w:val="00152660"/>
    <w:rsid w:val="001A7909"/>
    <w:rsid w:val="00315131"/>
    <w:rsid w:val="003315E9"/>
    <w:rsid w:val="003635D6"/>
    <w:rsid w:val="004A20DC"/>
    <w:rsid w:val="005000C4"/>
    <w:rsid w:val="00565EA3"/>
    <w:rsid w:val="00576CBB"/>
    <w:rsid w:val="005B1320"/>
    <w:rsid w:val="00614A5C"/>
    <w:rsid w:val="00627C9A"/>
    <w:rsid w:val="006537E8"/>
    <w:rsid w:val="006B23B7"/>
    <w:rsid w:val="007A402A"/>
    <w:rsid w:val="008F76D5"/>
    <w:rsid w:val="00921E00"/>
    <w:rsid w:val="0094570C"/>
    <w:rsid w:val="009509EB"/>
    <w:rsid w:val="009D124C"/>
    <w:rsid w:val="009D3117"/>
    <w:rsid w:val="009F55BD"/>
    <w:rsid w:val="00A132DA"/>
    <w:rsid w:val="00AB6416"/>
    <w:rsid w:val="00B4111D"/>
    <w:rsid w:val="00B624BC"/>
    <w:rsid w:val="00BE285C"/>
    <w:rsid w:val="00BF258B"/>
    <w:rsid w:val="00CC5370"/>
    <w:rsid w:val="00CC65B8"/>
    <w:rsid w:val="00D85591"/>
    <w:rsid w:val="00DE210C"/>
    <w:rsid w:val="00E47401"/>
    <w:rsid w:val="00F51AD0"/>
    <w:rsid w:val="00F9120D"/>
    <w:rsid w:val="00FA2DF0"/>
    <w:rsid w:val="00FC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4C"/>
  </w:style>
  <w:style w:type="paragraph" w:styleId="Heading1">
    <w:name w:val="heading 1"/>
    <w:basedOn w:val="Normal"/>
    <w:next w:val="Normal"/>
    <w:link w:val="Heading1Char"/>
    <w:uiPriority w:val="9"/>
    <w:qFormat/>
    <w:rsid w:val="00614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EA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D0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1A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37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37E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37E8"/>
  </w:style>
  <w:style w:type="paragraph" w:styleId="Footer">
    <w:name w:val="footer"/>
    <w:basedOn w:val="Normal"/>
    <w:link w:val="FooterChar"/>
    <w:uiPriority w:val="99"/>
    <w:unhideWhenUsed/>
    <w:rsid w:val="006537E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37E8"/>
  </w:style>
  <w:style w:type="paragraph" w:styleId="Subtitle">
    <w:name w:val="Subtitle"/>
    <w:basedOn w:val="Normal"/>
    <w:next w:val="Normal"/>
    <w:link w:val="SubtitleChar"/>
    <w:uiPriority w:val="11"/>
    <w:qFormat/>
    <w:rsid w:val="00653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37E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4C"/>
  </w:style>
  <w:style w:type="paragraph" w:styleId="Heading1">
    <w:name w:val="heading 1"/>
    <w:basedOn w:val="Normal"/>
    <w:next w:val="Normal"/>
    <w:link w:val="Heading1Char"/>
    <w:uiPriority w:val="9"/>
    <w:qFormat/>
    <w:rsid w:val="00614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1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5EA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A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AD0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A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1A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37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37E8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537E8"/>
  </w:style>
  <w:style w:type="paragraph" w:styleId="Footer">
    <w:name w:val="footer"/>
    <w:basedOn w:val="Normal"/>
    <w:link w:val="FooterChar"/>
    <w:uiPriority w:val="99"/>
    <w:unhideWhenUsed/>
    <w:rsid w:val="006537E8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37E8"/>
  </w:style>
  <w:style w:type="paragraph" w:styleId="Subtitle">
    <w:name w:val="Subtitle"/>
    <w:basedOn w:val="Normal"/>
    <w:next w:val="Normal"/>
    <w:link w:val="SubtitleChar"/>
    <w:uiPriority w:val="11"/>
    <w:qFormat/>
    <w:rsid w:val="00653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537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697454280861286"/>
          <c:y val="2.5102295898748444E-2"/>
          <c:w val="0.47325096434083552"/>
          <c:h val="0.9497954082025033"/>
        </c:manualLayout>
      </c:layout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0854715575968698E-2"/>
                  <c:y val="1.456463019997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42774326032804E-2"/>
                  <c:y val="4.8543592425443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13592427854734E-2"/>
                  <c:y val="1.369391499592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1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1E-2"/>
                  <c:y val="7.2813390936815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203162319686654E-3"/>
                  <c:y val="2.282026899886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180474347952998E-2"/>
                  <c:y val="4.5640537997724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50 - 250 служители</c:v>
                </c:pt>
                <c:pt idx="1">
                  <c:v>250 - 1000 служители</c:v>
                </c:pt>
                <c:pt idx="2">
                  <c:v>Над 1000 служители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0.32000000000000006</c:v>
                </c:pt>
                <c:pt idx="1">
                  <c:v>0.39000000000000007</c:v>
                </c:pt>
                <c:pt idx="2">
                  <c:v>0.29000000000000004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889920"/>
        <c:axId val="138779968"/>
        <c:axId val="0"/>
      </c:bar3DChart>
      <c:catAx>
        <c:axId val="13588992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779968"/>
        <c:crosses val="autoZero"/>
        <c:auto val="1"/>
        <c:lblAlgn val="ctr"/>
        <c:lblOffset val="100"/>
        <c:noMultiLvlLbl val="0"/>
      </c:catAx>
      <c:valAx>
        <c:axId val="138779968"/>
        <c:scaling>
          <c:orientation val="minMax"/>
          <c:max val="1"/>
          <c:min val="0"/>
        </c:scaling>
        <c:delete val="1"/>
        <c:axPos val="t"/>
        <c:numFmt formatCode="0%" sourceLinked="1"/>
        <c:majorTickMark val="out"/>
        <c:minorTickMark val="none"/>
        <c:tickLblPos val="nextTo"/>
        <c:crossAx val="135889920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697454280861286"/>
          <c:y val="2.510229589874844E-2"/>
          <c:w val="0.47325096434083552"/>
          <c:h val="0.9497954082025033"/>
        </c:manualLayout>
      </c:layout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5428360001965084E-3"/>
                  <c:y val="3.2979780882292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203162319686654E-3"/>
                  <c:y val="2.2820268998862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180474347952998E-2"/>
                  <c:y val="4.5640537997724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Информация за надеждни каузи</c:v>
                </c:pt>
                <c:pt idx="1">
                  <c:v>Информация за данъчните облекчения за дарителство</c:v>
                </c:pt>
                <c:pt idx="2">
                  <c:v>Умения за мотивиране на служителите за даряване</c:v>
                </c:pt>
                <c:pt idx="3">
                  <c:v>Подкрепа и личен пример от висшето ръководство</c:v>
                </c:pt>
                <c:pt idx="4">
                  <c:v>Организационна подкрепа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0.62100000000000011</c:v>
                </c:pt>
                <c:pt idx="1">
                  <c:v>0.34500000000000003</c:v>
                </c:pt>
                <c:pt idx="2">
                  <c:v>0.48300000000000004</c:v>
                </c:pt>
                <c:pt idx="3">
                  <c:v>0.37900000000000006</c:v>
                </c:pt>
                <c:pt idx="4">
                  <c:v>0.24100000000000005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471552"/>
        <c:axId val="138943808"/>
        <c:axId val="0"/>
      </c:bar3DChart>
      <c:catAx>
        <c:axId val="1364715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943808"/>
        <c:crosses val="autoZero"/>
        <c:auto val="1"/>
        <c:lblAlgn val="ctr"/>
        <c:lblOffset val="100"/>
        <c:noMultiLvlLbl val="0"/>
      </c:catAx>
      <c:valAx>
        <c:axId val="138943808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471552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1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89942201971564E-2"/>
                  <c:y val="1.698979121859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На специално събитие</c:v>
                </c:pt>
                <c:pt idx="1">
                  <c:v>Веднъж годишно с мейл/бюлетин</c:v>
                </c:pt>
                <c:pt idx="2">
                  <c:v>Текущо по мейл, бюлетини, друго</c:v>
                </c:pt>
                <c:pt idx="3">
                  <c:v>При посещение при каузите</c:v>
                </c:pt>
                <c:pt idx="4">
                  <c:v>Не получават обратна информация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</c:v>
                </c:pt>
                <c:pt idx="1">
                  <c:v>3.0000000000000002E-2</c:v>
                </c:pt>
                <c:pt idx="2">
                  <c:v>0.72700000000000009</c:v>
                </c:pt>
                <c:pt idx="3">
                  <c:v>0.18200000000000002</c:v>
                </c:pt>
                <c:pt idx="4">
                  <c:v>6.1000000000000006E-2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473088"/>
        <c:axId val="138988928"/>
        <c:axId val="0"/>
      </c:bar3DChart>
      <c:catAx>
        <c:axId val="1364730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138988928"/>
        <c:crosses val="autoZero"/>
        <c:auto val="1"/>
        <c:lblAlgn val="ctr"/>
        <c:lblOffset val="100"/>
        <c:noMultiLvlLbl val="0"/>
      </c:catAx>
      <c:valAx>
        <c:axId val="138988928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473088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145904663221692"/>
          <c:y val="2.510229589874844E-2"/>
          <c:w val="0.43860641068378226"/>
          <c:h val="0.9497954082025033"/>
        </c:manualLayout>
      </c:layout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"/>
                  <c:y val="7.5249709458333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203162319686654E-3"/>
                  <c:y val="2.2820268998862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180474347952998E-2"/>
                  <c:y val="4.5640537997724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Подпомагане на деца със здравословни проблеми, в това число и такива с увреждания</c:v>
                </c:pt>
                <c:pt idx="1">
                  <c:v>Подпомагане на възрастни със здравословни проблеми, в това число и такива с увреждания</c:v>
                </c:pt>
                <c:pt idx="2">
                  <c:v>Екологични каузи</c:v>
                </c:pt>
                <c:pt idx="3">
                  <c:v>Спортни каузи</c:v>
                </c:pt>
                <c:pt idx="4">
                  <c:v>Стипендии и образователни каузи</c:v>
                </c:pt>
                <c:pt idx="5">
                  <c:v>Подпомагане на таланти и проекти на организации в културата</c:v>
                </c:pt>
                <c:pt idx="6">
                  <c:v>Грижа за стари хора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0.96700000000000019</c:v>
                </c:pt>
                <c:pt idx="1">
                  <c:v>0.30000000000000004</c:v>
                </c:pt>
                <c:pt idx="2">
                  <c:v>0.2</c:v>
                </c:pt>
                <c:pt idx="3">
                  <c:v>0.13300000000000001</c:v>
                </c:pt>
                <c:pt idx="4">
                  <c:v>0.26700000000000002</c:v>
                </c:pt>
                <c:pt idx="5">
                  <c:v>0.1</c:v>
                </c:pt>
                <c:pt idx="6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81024"/>
        <c:axId val="138991232"/>
        <c:axId val="0"/>
      </c:bar3DChart>
      <c:catAx>
        <c:axId val="1388810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38991232"/>
        <c:crosses val="autoZero"/>
        <c:auto val="1"/>
        <c:lblAlgn val="ctr"/>
        <c:lblOffset val="100"/>
        <c:noMultiLvlLbl val="0"/>
      </c:catAx>
      <c:valAx>
        <c:axId val="138991232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8881024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489942201971564E-2"/>
                  <c:y val="1.698979121859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62560930345265E-2"/>
                  <c:y val="4.8544282462461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79786795875608E-2"/>
                  <c:y val="1.1555321722667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Ще увеличим средствата отделяни от компанията за благотворителност</c:v>
                </c:pt>
                <c:pt idx="1">
                  <c:v>Средствата отделяни от компанията за благотворителност ще останат същите</c:v>
                </c:pt>
                <c:pt idx="2">
                  <c:v>Ще намалим средствата отделяни от компанията за благотворителност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0.22600000000000001</c:v>
                </c:pt>
                <c:pt idx="1">
                  <c:v>0.7420000000000001</c:v>
                </c:pt>
                <c:pt idx="2">
                  <c:v>3.2000000000000008E-2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116224"/>
        <c:axId val="138992960"/>
        <c:axId val="0"/>
      </c:bar3DChart>
      <c:catAx>
        <c:axId val="1361162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992960"/>
        <c:crosses val="autoZero"/>
        <c:auto val="1"/>
        <c:lblAlgn val="ctr"/>
        <c:lblOffset val="100"/>
        <c:noMultiLvlLbl val="0"/>
      </c:catAx>
      <c:valAx>
        <c:axId val="138992960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116224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0.43584521384928726"/>
                  <c:y val="6.7998290940593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162932790224034"/>
                  <c:y val="3.3999145470296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0.76300000000000012</c:v>
                </c:pt>
                <c:pt idx="1">
                  <c:v>0.23700000000000002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147968"/>
        <c:axId val="139276224"/>
        <c:axId val="0"/>
      </c:bar3DChart>
      <c:catAx>
        <c:axId val="136147968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9276224"/>
        <c:crosses val="autoZero"/>
        <c:auto val="1"/>
        <c:lblAlgn val="ctr"/>
        <c:lblOffset val="100"/>
        <c:noMultiLvlLbl val="0"/>
      </c:catAx>
      <c:valAx>
        <c:axId val="139276224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36147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861078724975801"/>
          <c:y val="2.510229589874844E-2"/>
          <c:w val="0.64161463554864706"/>
          <c:h val="0.9497954082025033"/>
        </c:manualLayout>
      </c:layout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0854715575968694E-2"/>
                  <c:y val="1.4564630199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42774326032804E-2"/>
                  <c:y val="4.8543592425443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13592427854731E-2"/>
                  <c:y val="1.3693914995929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1203162319686654E-3"/>
                  <c:y val="2.2820268998862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180474347952998E-2"/>
                  <c:y val="4.5640537997724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До 30%</c:v>
                </c:pt>
                <c:pt idx="1">
                  <c:v>31% - 69%</c:v>
                </c:pt>
                <c:pt idx="2">
                  <c:v>Над 70%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0.63000000000000012</c:v>
                </c:pt>
                <c:pt idx="1">
                  <c:v>8.0000000000000016E-2</c:v>
                </c:pt>
                <c:pt idx="2">
                  <c:v>0.29000000000000004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148992"/>
        <c:axId val="133240448"/>
        <c:axId val="0"/>
      </c:bar3DChart>
      <c:catAx>
        <c:axId val="1361489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3240448"/>
        <c:crosses val="autoZero"/>
        <c:auto val="1"/>
        <c:lblAlgn val="ctr"/>
        <c:lblOffset val="100"/>
        <c:noMultiLvlLbl val="0"/>
      </c:catAx>
      <c:valAx>
        <c:axId val="133240448"/>
        <c:scaling>
          <c:orientation val="minMax"/>
          <c:max val="1"/>
          <c:min val="0"/>
        </c:scaling>
        <c:delete val="1"/>
        <c:axPos val="t"/>
        <c:numFmt formatCode="0%" sourceLinked="1"/>
        <c:majorTickMark val="out"/>
        <c:minorTickMark val="none"/>
        <c:tickLblPos val="nextTo"/>
        <c:crossAx val="136148992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6"/>
            <c:invertIfNegative val="0"/>
            <c:bubble3D val="0"/>
            <c:spPr>
              <a:solidFill>
                <a:sysClr val="window" lastClr="FFFFFF">
                  <a:lumMod val="65000"/>
                </a:sysClr>
              </a:solidFill>
            </c:spPr>
          </c:dPt>
          <c:dLbls>
            <c:dLbl>
              <c:idx val="0"/>
              <c:layout>
                <c:manualLayout>
                  <c:x val="1.5353567179540169E-2"/>
                  <c:y val="5.0852795785767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038693632621537E-2"/>
                  <c:y val="1.148062686022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97093168355153E-2"/>
                  <c:y val="-6.54747184644483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53279181223044E-2"/>
                  <c:y val="9.0535138290020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88031301076105E-3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2527031845887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252703184588792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Кутия за дарения</c:v>
                </c:pt>
                <c:pt idx="1">
                  <c:v>Служителите купуваха предмети (картички,благотворителен търг/игра</c:v>
                </c:pt>
                <c:pt idx="2">
                  <c:v>Служителите изпращаха дарения в банкова сметка</c:v>
                </c:pt>
                <c:pt idx="3">
                  <c:v>Дарителство по ведомост - чрез месечни удръжки съгласно подписани от служителите договори/декларации за дарения</c:v>
                </c:pt>
                <c:pt idx="4">
                  <c:v>Дарителство чрез SMS</c:v>
                </c:pt>
                <c:pt idx="5">
                  <c:v>Служителите дариха ваучерите си за храна и подаръци</c:v>
                </c:pt>
                <c:pt idx="6">
                  <c:v>Друго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>
                  <c:v>0.62100000000000011</c:v>
                </c:pt>
                <c:pt idx="1">
                  <c:v>0.41400000000000003</c:v>
                </c:pt>
                <c:pt idx="2">
                  <c:v>0.41400000000000003</c:v>
                </c:pt>
                <c:pt idx="3">
                  <c:v>0.31000000000000005</c:v>
                </c:pt>
                <c:pt idx="4">
                  <c:v>0.13800000000000001</c:v>
                </c:pt>
                <c:pt idx="5">
                  <c:v>3.4000000000000002E-2</c:v>
                </c:pt>
                <c:pt idx="6">
                  <c:v>0.10300000000000002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150528"/>
        <c:axId val="133242176"/>
        <c:axId val="0"/>
      </c:bar3DChart>
      <c:catAx>
        <c:axId val="1361505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33242176"/>
        <c:crosses val="autoZero"/>
        <c:auto val="1"/>
        <c:lblAlgn val="ctr"/>
        <c:lblOffset val="100"/>
        <c:noMultiLvlLbl val="0"/>
      </c:catAx>
      <c:valAx>
        <c:axId val="133242176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150528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2929629781692386E-2"/>
                  <c:y val="1.479392281474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544100001799131E-2"/>
                  <c:y val="1.6335044033945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79140119969325E-2"/>
                  <c:y val="-3.0816691046093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53279181223044E-2"/>
                  <c:y val="9.0535138290020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88031301076105E-3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2527031845887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252703184588792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Да, организирана самостоятелно от служителите</c:v>
                </c:pt>
                <c:pt idx="1">
                  <c:v>Да, организирана от компанията</c:v>
                </c:pt>
                <c:pt idx="2">
                  <c:v>Не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0.28900000000000003</c:v>
                </c:pt>
                <c:pt idx="1">
                  <c:v>0.34200000000000008</c:v>
                </c:pt>
                <c:pt idx="2">
                  <c:v>0.3680000000000001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80000"/>
        <c:axId val="133241600"/>
        <c:axId val="0"/>
      </c:bar3DChart>
      <c:catAx>
        <c:axId val="1388800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3241600"/>
        <c:crosses val="autoZero"/>
        <c:auto val="1"/>
        <c:lblAlgn val="ctr"/>
        <c:lblOffset val="100"/>
        <c:noMultiLvlLbl val="0"/>
      </c:catAx>
      <c:valAx>
        <c:axId val="133241600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8880000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2929629781692386E-2"/>
                  <c:y val="1.479392281474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544100001799131E-2"/>
                  <c:y val="1.6335044033945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379140119969325E-2"/>
                  <c:y val="-3.0816691046093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53279181223044E-2"/>
                  <c:y val="9.0535138290020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788031301076105E-3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2527031845887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252703184588792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Веднъж годишно на специални събития</c:v>
                </c:pt>
                <c:pt idx="1">
                  <c:v>Два пъти годишно на специални събития</c:v>
                </c:pt>
                <c:pt idx="2">
                  <c:v>Повече от два пъти годишно на специални </c:v>
                </c:pt>
                <c:pt idx="3">
                  <c:v>Ежемесечно (дарителство по ведомост)</c:v>
                </c:pt>
                <c:pt idx="4">
                  <c:v>Не даряват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0.25</c:v>
                </c:pt>
                <c:pt idx="1">
                  <c:v>0.16700000000000001</c:v>
                </c:pt>
                <c:pt idx="2">
                  <c:v>0.38900000000000007</c:v>
                </c:pt>
                <c:pt idx="3">
                  <c:v>0.25</c:v>
                </c:pt>
                <c:pt idx="4">
                  <c:v>8.3000000000000018E-2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82048"/>
        <c:axId val="138936896"/>
        <c:axId val="0"/>
      </c:bar3DChart>
      <c:catAx>
        <c:axId val="13888204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936896"/>
        <c:crosses val="autoZero"/>
        <c:auto val="0"/>
        <c:lblAlgn val="ctr"/>
        <c:lblOffset val="100"/>
        <c:noMultiLvlLbl val="0"/>
      </c:catAx>
      <c:valAx>
        <c:axId val="138936896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8882048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1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89942201971564E-2"/>
                  <c:y val="1.698979121859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ПР отделът</c:v>
                </c:pt>
                <c:pt idx="1">
                  <c:v>ЧР отделът</c:v>
                </c:pt>
                <c:pt idx="2">
                  <c:v>ПР и ЧР отделите</c:v>
                </c:pt>
                <c:pt idx="3">
                  <c:v>Друг отдел</c:v>
                </c:pt>
                <c:pt idx="4">
                  <c:v>Външна организация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0.33300000000000007</c:v>
                </c:pt>
                <c:pt idx="1">
                  <c:v>0.18200000000000002</c:v>
                </c:pt>
                <c:pt idx="2">
                  <c:v>0.33300000000000007</c:v>
                </c:pt>
                <c:pt idx="3">
                  <c:v>0.12100000000000001</c:v>
                </c:pt>
                <c:pt idx="4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11776"/>
        <c:axId val="138940928"/>
        <c:axId val="0"/>
      </c:bar3DChart>
      <c:catAx>
        <c:axId val="1360117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940928"/>
        <c:crosses val="autoZero"/>
        <c:auto val="1"/>
        <c:lblAlgn val="ctr"/>
        <c:lblOffset val="100"/>
        <c:noMultiLvlLbl val="0"/>
      </c:catAx>
      <c:valAx>
        <c:axId val="138940928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011776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489942201971564E-2"/>
                  <c:y val="1.698979121859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Да, с фиксирана сума</c:v>
                </c:pt>
                <c:pt idx="1">
                  <c:v>Да, удвоява даренията на служителите</c:v>
                </c:pt>
                <c:pt idx="2">
                  <c:v>Да, утроява даренията на служителите</c:v>
                </c:pt>
                <c:pt idx="3">
                  <c:v>Не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0.57600000000000018</c:v>
                </c:pt>
                <c:pt idx="1">
                  <c:v>0.27300000000000002</c:v>
                </c:pt>
                <c:pt idx="2">
                  <c:v>0</c:v>
                </c:pt>
                <c:pt idx="3">
                  <c:v>0.15200000000000002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014848"/>
        <c:axId val="138942656"/>
        <c:axId val="0"/>
      </c:bar3DChart>
      <c:catAx>
        <c:axId val="13601484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138942656"/>
        <c:crosses val="autoZero"/>
        <c:auto val="1"/>
        <c:lblAlgn val="ctr"/>
        <c:lblOffset val="100"/>
        <c:noMultiLvlLbl val="0"/>
      </c:catAx>
      <c:valAx>
        <c:axId val="138942656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6014848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91293896581032"/>
          <c:y val="5.372919868496151E-2"/>
          <c:w val="0.71245671096615382"/>
          <c:h val="0.8925416026300772"/>
        </c:manualLayout>
      </c:layout>
      <c:bar3DChart>
        <c:barDir val="bar"/>
        <c:grouping val="clustered"/>
        <c:varyColors val="1"/>
        <c:ser>
          <c:idx val="1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2.489942201971564E-2"/>
                  <c:y val="1.698979121859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82046951614158E-2"/>
                  <c:y val="4.8542260624543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52703184588792E-2"/>
                  <c:y val="2.42711303122719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71737506810148E-2"/>
                  <c:y val="9.70845212490879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1737506810148E-2"/>
                  <c:y val="7.28133909368159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До 1 000 лева</c:v>
                </c:pt>
                <c:pt idx="1">
                  <c:v>1 001 – 5 000 лева</c:v>
                </c:pt>
                <c:pt idx="2">
                  <c:v>5 001 – 10 000 лева</c:v>
                </c:pt>
                <c:pt idx="3">
                  <c:v>10 001 - 20 000 лева</c:v>
                </c:pt>
                <c:pt idx="4">
                  <c:v>Над 20 000 лева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0.125</c:v>
                </c:pt>
                <c:pt idx="1">
                  <c:v>0.34400000000000003</c:v>
                </c:pt>
                <c:pt idx="2">
                  <c:v>0.40600000000000008</c:v>
                </c:pt>
                <c:pt idx="3">
                  <c:v>6.3E-2</c:v>
                </c:pt>
                <c:pt idx="4">
                  <c:v>6.3E-2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78976"/>
        <c:axId val="138941504"/>
        <c:axId val="0"/>
      </c:bar3DChart>
      <c:catAx>
        <c:axId val="1388789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138941504"/>
        <c:crosses val="autoZero"/>
        <c:auto val="1"/>
        <c:lblAlgn val="ctr"/>
        <c:lblOffset val="100"/>
        <c:noMultiLvlLbl val="0"/>
      </c:catAx>
      <c:valAx>
        <c:axId val="138941504"/>
        <c:scaling>
          <c:orientation val="minMax"/>
          <c:max val="1"/>
          <c:min val="0"/>
        </c:scaling>
        <c:delete val="1"/>
        <c:axPos val="t"/>
        <c:numFmt formatCode="0.0%" sourceLinked="1"/>
        <c:majorTickMark val="out"/>
        <c:minorTickMark val="none"/>
        <c:tickLblPos val="nextTo"/>
        <c:crossAx val="138878976"/>
        <c:crosses val="autoZero"/>
        <c:crossBetween val="between"/>
        <c:minorUnit val="200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Custom 1">
    <a:dk1>
      <a:srgbClr val="333333"/>
    </a:dk1>
    <a:lt1>
      <a:sysClr val="window" lastClr="FFFFFF"/>
    </a:lt1>
    <a:dk2>
      <a:srgbClr val="666666"/>
    </a:dk2>
    <a:lt2>
      <a:srgbClr val="EEECE1"/>
    </a:lt2>
    <a:accent1>
      <a:srgbClr val="8BAB42"/>
    </a:accent1>
    <a:accent2>
      <a:srgbClr val="CCCCCC"/>
    </a:accent2>
    <a:accent3>
      <a:srgbClr val="60574C"/>
    </a:accent3>
    <a:accent4>
      <a:srgbClr val="31859C"/>
    </a:accent4>
    <a:accent5>
      <a:srgbClr val="A8BC33"/>
    </a:accent5>
    <a:accent6>
      <a:srgbClr val="FFFFFF"/>
    </a:accent6>
    <a:hlink>
      <a:srgbClr val="31859C"/>
    </a:hlink>
    <a:folHlink>
      <a:srgbClr val="31859C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FDA-DB9C-4993-A432-61F01A61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 Mihaylov</dc:creator>
  <cp:lastModifiedBy>Office</cp:lastModifiedBy>
  <cp:revision>2</cp:revision>
  <cp:lastPrinted>2016-03-09T07:25:00Z</cp:lastPrinted>
  <dcterms:created xsi:type="dcterms:W3CDTF">2016-03-09T14:27:00Z</dcterms:created>
  <dcterms:modified xsi:type="dcterms:W3CDTF">2016-03-09T14:27:00Z</dcterms:modified>
</cp:coreProperties>
</file>