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A08" w:rsidRPr="00812A08" w:rsidRDefault="00812A08" w:rsidP="00812A08">
      <w:pPr>
        <w:jc w:val="center"/>
        <w:rPr>
          <w:b/>
          <w:bCs/>
          <w:sz w:val="32"/>
          <w:szCs w:val="32"/>
        </w:rPr>
      </w:pPr>
      <w:r w:rsidRPr="00812A08">
        <w:rPr>
          <w:b/>
          <w:bCs/>
          <w:sz w:val="32"/>
          <w:szCs w:val="32"/>
        </w:rPr>
        <w:br/>
        <w:t>Оценка на икономическото въздействие на стратегиите за интеграция на ромите: Сравнително изследване на усилията на НПО и правителството в България</w:t>
      </w:r>
    </w:p>
    <w:p w:rsidR="00612DC1" w:rsidRDefault="00612DC1"/>
    <w:p w:rsidR="00FF4FBC" w:rsidRDefault="00FF4FBC">
      <w:pPr>
        <w:rPr>
          <w:b/>
          <w:bCs/>
        </w:rPr>
      </w:pPr>
    </w:p>
    <w:p w:rsidR="00261CF4" w:rsidRDefault="00261CF4">
      <w:pPr>
        <w:rPr>
          <w:b/>
          <w:bCs/>
        </w:rPr>
      </w:pPr>
    </w:p>
    <w:p w:rsidR="00261CF4" w:rsidRDefault="00261CF4">
      <w:pPr>
        <w:rPr>
          <w:b/>
          <w:bCs/>
        </w:rPr>
      </w:pPr>
    </w:p>
    <w:p w:rsidR="00261CF4" w:rsidRPr="00EB2841" w:rsidRDefault="00261CF4">
      <w:pPr>
        <w:rPr>
          <w:b/>
          <w:bCs/>
        </w:rPr>
      </w:pPr>
    </w:p>
    <w:p w:rsidR="00FF4FBC" w:rsidRPr="00E91938" w:rsidRDefault="00EB2841" w:rsidP="00E919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938">
        <w:rPr>
          <w:rFonts w:ascii="Times New Roman" w:hAnsi="Times New Roman" w:cs="Times New Roman"/>
          <w:b/>
          <w:bCs/>
          <w:sz w:val="28"/>
          <w:szCs w:val="28"/>
          <w:lang w:val="bg-BG"/>
        </w:rPr>
        <w:t>Резюме</w:t>
      </w:r>
    </w:p>
    <w:p w:rsidR="004A066F" w:rsidRPr="00E91938" w:rsidRDefault="004A066F" w:rsidP="00E91938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066F" w:rsidRPr="00E91938" w:rsidRDefault="004A066F" w:rsidP="00E91938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E91938">
        <w:rPr>
          <w:rFonts w:ascii="Times New Roman" w:eastAsia="Times New Roman" w:hAnsi="Times New Roman" w:cs="Times New Roman"/>
          <w:lang w:val="bg-BG" w:eastAsia="en-GB"/>
        </w:rPr>
        <w:t>Това и</w:t>
      </w:r>
      <w:r w:rsidRPr="00E91938">
        <w:rPr>
          <w:rFonts w:ascii="Times New Roman" w:eastAsia="Times New Roman" w:hAnsi="Times New Roman" w:cs="Times New Roman"/>
          <w:lang w:eastAsia="en-GB"/>
        </w:rPr>
        <w:t>зследване разглежда ефективността на различните стратегии за интеграция на ромското население в България, съсредоточавайки се върху усилията на Министерството на образованието и науката (МОН) и неправителствените организации (НПО). Основната цел е да се анализират и сравнят подходите на двете страни, като се акцентира върху техния икономически ефект и въздействие върху интеграцията на ромските деца и техните семейства.</w:t>
      </w:r>
    </w:p>
    <w:p w:rsidR="004A066F" w:rsidRPr="00E91938" w:rsidRDefault="004A066F" w:rsidP="00E91938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</w:p>
    <w:p w:rsidR="004A066F" w:rsidRPr="00E91938" w:rsidRDefault="004A066F" w:rsidP="00E91938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E91938">
        <w:rPr>
          <w:rFonts w:ascii="Times New Roman" w:eastAsia="Times New Roman" w:hAnsi="Times New Roman" w:cs="Times New Roman"/>
          <w:lang w:eastAsia="en-GB"/>
        </w:rPr>
        <w:t>Проучването също така разглежда как взаимодействието между МОН и НПО може да бъде оптимизирано, за да се постигне по-добра интеграция на ромското население, както и да се увеличи ефективността на използваните ресурси и финансиране.</w:t>
      </w:r>
    </w:p>
    <w:p w:rsidR="004A066F" w:rsidRPr="00E91938" w:rsidRDefault="004A066F" w:rsidP="00E91938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FBC" w:rsidRPr="00722979" w:rsidRDefault="00EB2841" w:rsidP="00E919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93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Съдържание</w:t>
      </w:r>
    </w:p>
    <w:p w:rsidR="00722979" w:rsidRPr="00E91938" w:rsidRDefault="00722979" w:rsidP="00722979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B06" w:rsidRPr="00E91938" w:rsidRDefault="00693B06" w:rsidP="00E919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91938">
        <w:rPr>
          <w:rFonts w:ascii="Times New Roman" w:hAnsi="Times New Roman" w:cs="Times New Roman"/>
          <w:lang w:val="bg-BG"/>
        </w:rPr>
        <w:t>Въведение……………………</w:t>
      </w:r>
      <w:r w:rsidR="000A6D78" w:rsidRPr="00E91938">
        <w:rPr>
          <w:rFonts w:ascii="Times New Roman" w:hAnsi="Times New Roman" w:cs="Times New Roman"/>
          <w:lang w:val="bg-BG"/>
        </w:rPr>
        <w:t>………………………………………</w:t>
      </w:r>
      <w:r w:rsidRPr="00E91938">
        <w:rPr>
          <w:rFonts w:ascii="Times New Roman" w:hAnsi="Times New Roman" w:cs="Times New Roman"/>
          <w:lang w:val="bg-BG"/>
        </w:rPr>
        <w:t>……</w:t>
      </w:r>
      <w:r w:rsidR="000A6D78" w:rsidRPr="00E91938">
        <w:rPr>
          <w:rFonts w:ascii="Times New Roman" w:hAnsi="Times New Roman" w:cs="Times New Roman"/>
          <w:lang w:val="bg-BG"/>
        </w:rPr>
        <w:t>.</w:t>
      </w:r>
      <w:r w:rsidRPr="00E91938">
        <w:rPr>
          <w:rFonts w:ascii="Times New Roman" w:hAnsi="Times New Roman" w:cs="Times New Roman"/>
          <w:lang w:val="bg-BG"/>
        </w:rPr>
        <w:t>…стр.1</w:t>
      </w:r>
    </w:p>
    <w:p w:rsidR="00693B06" w:rsidRPr="00E91938" w:rsidRDefault="00693B06" w:rsidP="00E919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91938">
        <w:rPr>
          <w:rFonts w:ascii="Times New Roman" w:hAnsi="Times New Roman" w:cs="Times New Roman"/>
          <w:lang w:val="bg-BG"/>
        </w:rPr>
        <w:t>Методология</w:t>
      </w:r>
      <w:r w:rsidR="000A6D78" w:rsidRPr="00E91938">
        <w:rPr>
          <w:rFonts w:ascii="Times New Roman" w:hAnsi="Times New Roman" w:cs="Times New Roman"/>
          <w:lang w:val="bg-BG"/>
        </w:rPr>
        <w:t>………………………………………………………………….стр.2</w:t>
      </w:r>
    </w:p>
    <w:p w:rsidR="00693B06" w:rsidRPr="00E91938" w:rsidRDefault="00693B06" w:rsidP="00E919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91938">
        <w:rPr>
          <w:rFonts w:ascii="Times New Roman" w:hAnsi="Times New Roman" w:cs="Times New Roman"/>
          <w:lang w:val="bg-BG"/>
        </w:rPr>
        <w:t>Анализ на данните</w:t>
      </w:r>
      <w:r w:rsidR="000A6D78" w:rsidRPr="00E91938">
        <w:rPr>
          <w:rFonts w:ascii="Times New Roman" w:hAnsi="Times New Roman" w:cs="Times New Roman"/>
          <w:lang w:val="bg-BG"/>
        </w:rPr>
        <w:t>…………………………………………………………...стр.3</w:t>
      </w:r>
    </w:p>
    <w:p w:rsidR="00693B06" w:rsidRPr="00E91938" w:rsidRDefault="00693B06" w:rsidP="00E919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91938">
        <w:rPr>
          <w:rFonts w:ascii="Times New Roman" w:hAnsi="Times New Roman" w:cs="Times New Roman"/>
          <w:lang w:val="bg-BG"/>
        </w:rPr>
        <w:t>Икономически ефект</w:t>
      </w:r>
      <w:r w:rsidR="000A6D78" w:rsidRPr="00E91938">
        <w:rPr>
          <w:rFonts w:ascii="Times New Roman" w:hAnsi="Times New Roman" w:cs="Times New Roman"/>
          <w:lang w:val="bg-BG"/>
        </w:rPr>
        <w:t>………………………………………………………...стр.</w:t>
      </w:r>
      <w:r w:rsidR="004E3EBA">
        <w:rPr>
          <w:rFonts w:ascii="Times New Roman" w:hAnsi="Times New Roman" w:cs="Times New Roman"/>
          <w:lang w:val="bg-BG"/>
        </w:rPr>
        <w:t>6</w:t>
      </w:r>
    </w:p>
    <w:p w:rsidR="00693B06" w:rsidRPr="00E91938" w:rsidRDefault="00693B06" w:rsidP="00E919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91938">
        <w:rPr>
          <w:rFonts w:ascii="Times New Roman" w:hAnsi="Times New Roman" w:cs="Times New Roman"/>
          <w:lang w:val="bg-BG"/>
        </w:rPr>
        <w:t>Сравнение</w:t>
      </w:r>
      <w:r w:rsidR="000A6D78" w:rsidRPr="00E91938">
        <w:rPr>
          <w:rFonts w:ascii="Times New Roman" w:hAnsi="Times New Roman" w:cs="Times New Roman"/>
          <w:lang w:val="bg-BG"/>
        </w:rPr>
        <w:t>………………………………………………………………</w:t>
      </w:r>
      <w:r w:rsidR="004E3EBA">
        <w:rPr>
          <w:rFonts w:ascii="Times New Roman" w:hAnsi="Times New Roman" w:cs="Times New Roman"/>
          <w:lang w:val="bg-BG"/>
        </w:rPr>
        <w:t>...</w:t>
      </w:r>
      <w:r w:rsidR="000A6D78" w:rsidRPr="00E91938">
        <w:rPr>
          <w:rFonts w:ascii="Times New Roman" w:hAnsi="Times New Roman" w:cs="Times New Roman"/>
          <w:lang w:val="bg-BG"/>
        </w:rPr>
        <w:t>…стр.</w:t>
      </w:r>
      <w:r w:rsidR="004E3EBA">
        <w:rPr>
          <w:rFonts w:ascii="Times New Roman" w:hAnsi="Times New Roman" w:cs="Times New Roman"/>
          <w:lang w:val="bg-BG"/>
        </w:rPr>
        <w:t>10</w:t>
      </w:r>
    </w:p>
    <w:p w:rsidR="00693B06" w:rsidRPr="00E91938" w:rsidRDefault="00693B06" w:rsidP="00E919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91938">
        <w:rPr>
          <w:rFonts w:ascii="Times New Roman" w:hAnsi="Times New Roman" w:cs="Times New Roman"/>
          <w:lang w:val="bg-BG"/>
        </w:rPr>
        <w:t>Изводи</w:t>
      </w:r>
      <w:r w:rsidR="000A6D78" w:rsidRPr="00E91938">
        <w:rPr>
          <w:rFonts w:ascii="Times New Roman" w:hAnsi="Times New Roman" w:cs="Times New Roman"/>
          <w:lang w:val="bg-BG"/>
        </w:rPr>
        <w:t>……………………………………………………………………….стр.1</w:t>
      </w:r>
      <w:r w:rsidR="004E3EBA">
        <w:rPr>
          <w:rFonts w:ascii="Times New Roman" w:hAnsi="Times New Roman" w:cs="Times New Roman"/>
          <w:lang w:val="bg-BG"/>
        </w:rPr>
        <w:t>2</w:t>
      </w:r>
    </w:p>
    <w:p w:rsidR="006A23A5" w:rsidRPr="00E91938" w:rsidRDefault="006A23A5" w:rsidP="00E91938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12A08" w:rsidRPr="00E91938" w:rsidRDefault="00812A08" w:rsidP="00E919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91938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Въведение</w:t>
      </w:r>
    </w:p>
    <w:p w:rsidR="00AA3683" w:rsidRPr="00E91938" w:rsidRDefault="00AA3683" w:rsidP="00E91938">
      <w:pPr>
        <w:pStyle w:val="NormalWeb"/>
        <w:ind w:left="720" w:firstLine="720"/>
        <w:jc w:val="both"/>
      </w:pPr>
      <w:r w:rsidRPr="00E91938">
        <w:t xml:space="preserve">Ромската етническа група представлява значителна част от населението на България, като според последните статистически данни броят на ромите в страната е около 325 343 души. Ромите са известни със своето богато културно наследство и разнообразие, но често се сблъскват със социална изолация и икономически трудности. Историческите предизвикателства и липсата на ефективни интеграционни политики са довели до значителни различия в качеството на живот и икономическите възможности между ромското население и останалата част от </w:t>
      </w:r>
      <w:r w:rsidR="00FF4FBC" w:rsidRPr="00E91938">
        <w:rPr>
          <w:lang w:val="bg-BG"/>
        </w:rPr>
        <w:t xml:space="preserve">българското </w:t>
      </w:r>
      <w:r w:rsidRPr="00E91938">
        <w:t>общество.</w:t>
      </w:r>
    </w:p>
    <w:p w:rsidR="00AA3683" w:rsidRPr="00E91938" w:rsidRDefault="00AA3683" w:rsidP="00E91938">
      <w:pPr>
        <w:pStyle w:val="NormalWeb"/>
        <w:ind w:left="720" w:firstLine="720"/>
        <w:jc w:val="both"/>
      </w:pPr>
      <w:r w:rsidRPr="00E91938">
        <w:t xml:space="preserve">Целта на </w:t>
      </w:r>
      <w:r w:rsidR="00FF4FBC" w:rsidRPr="00E91938">
        <w:rPr>
          <w:lang w:val="bg-BG"/>
        </w:rPr>
        <w:t xml:space="preserve">това </w:t>
      </w:r>
      <w:r w:rsidRPr="00E91938">
        <w:t>изследване е да се извърши сравнителен анализ на стратегиите за интеграция на ромите, прилагани от неправителствените организации (НПО) и правителството в България, със специален акцент върху тяхната икономическа ефективност</w:t>
      </w:r>
      <w:r w:rsidR="00FF4FBC" w:rsidRPr="00E91938">
        <w:rPr>
          <w:lang w:val="bg-BG"/>
        </w:rPr>
        <w:t xml:space="preserve">. </w:t>
      </w:r>
      <w:r w:rsidRPr="00E91938">
        <w:t xml:space="preserve">Изследването </w:t>
      </w:r>
      <w:r w:rsidR="00726C0C" w:rsidRPr="00E91938">
        <w:rPr>
          <w:lang w:val="bg-BG"/>
        </w:rPr>
        <w:t>ще</w:t>
      </w:r>
      <w:r w:rsidRPr="00E91938">
        <w:t xml:space="preserve"> отговори на въпросите кои стратегии се оказват най-логични от икономическа гледна точка, какви са </w:t>
      </w:r>
      <w:r w:rsidRPr="00E91938">
        <w:lastRenderedPageBreak/>
        <w:t>пречките пред тяхното изпълнение и какви са възможностите за оптимизиране на ресурсите и усилията за по-добри резултати.</w:t>
      </w:r>
    </w:p>
    <w:p w:rsidR="00AA3683" w:rsidRPr="00E91938" w:rsidRDefault="00AA3683" w:rsidP="00E91938">
      <w:pPr>
        <w:pStyle w:val="NormalWeb"/>
        <w:ind w:left="720" w:firstLine="720"/>
        <w:jc w:val="both"/>
      </w:pPr>
      <w:r w:rsidRPr="00E91938">
        <w:t>В рамките на изследването ще бъдат разгледани различни аспекти на интеграционните политики, включително достъп до образование, здравеопазване, заетост и жилищни условия. Ще се анализират както количествените, така и качествените резултати от инициативите на НПО и правителството, с цел да се идентифицират успешните практики и потенциалните области за подобрение. Особено внимание ще се отдели на икономическите ползи и разходи, свързани с различните стратегии, като ще се търси да се идентифицират тези подходи, които водят до най-голяма възвръщаемост на инвестициите и най-ефективно подпомагат икономическата интеграция на ромите.</w:t>
      </w:r>
    </w:p>
    <w:p w:rsidR="00AA3683" w:rsidRPr="00E91938" w:rsidRDefault="00AA3683" w:rsidP="00E91938">
      <w:pPr>
        <w:pStyle w:val="NormalWeb"/>
        <w:ind w:left="720" w:firstLine="720"/>
        <w:jc w:val="both"/>
      </w:pPr>
      <w:r w:rsidRPr="00E91938">
        <w:t xml:space="preserve">Специално </w:t>
      </w:r>
      <w:r w:rsidR="00726C0C" w:rsidRPr="00E91938">
        <w:rPr>
          <w:lang w:val="bg-BG"/>
        </w:rPr>
        <w:t>ще се разгледа</w:t>
      </w:r>
      <w:r w:rsidRPr="00E91938">
        <w:t xml:space="preserve"> ролята на Министерството на образованието в подкрепа на интеграционните усилия, като ще се предложат препоръки за увеличаване на финансирането в определени области и оптимизиране на разходите</w:t>
      </w:r>
      <w:r w:rsidR="00726C0C" w:rsidRPr="00E91938">
        <w:rPr>
          <w:lang w:val="bg-BG"/>
        </w:rPr>
        <w:t xml:space="preserve"> в други</w:t>
      </w:r>
      <w:r w:rsidRPr="00E91938">
        <w:t>, за да се постигнат по-добри резултати. Чрез анализ на различните подходи и тях</w:t>
      </w:r>
      <w:proofErr w:type="spellStart"/>
      <w:r w:rsidR="00726C0C" w:rsidRPr="00E91938">
        <w:rPr>
          <w:lang w:val="bg-BG"/>
        </w:rPr>
        <w:t>ното</w:t>
      </w:r>
      <w:proofErr w:type="spellEnd"/>
      <w:r w:rsidR="00726C0C" w:rsidRPr="00E91938">
        <w:rPr>
          <w:lang w:val="bg-BG"/>
        </w:rPr>
        <w:t xml:space="preserve"> </w:t>
      </w:r>
      <w:r w:rsidRPr="00E91938">
        <w:t xml:space="preserve"> икономическ</w:t>
      </w:r>
      <w:r w:rsidR="00726C0C" w:rsidRPr="00E91938">
        <w:rPr>
          <w:lang w:val="bg-BG"/>
        </w:rPr>
        <w:t xml:space="preserve">о значение </w:t>
      </w:r>
      <w:r w:rsidRPr="00E91938">
        <w:t>изследването цели да допринесе към разбирането на ефективността на интеграционните стратегии и да предложи практически решения за подобряване на социалния и икономическия статус на ромите в България.</w:t>
      </w:r>
    </w:p>
    <w:p w:rsidR="00EB2841" w:rsidRPr="00E91938" w:rsidRDefault="00EB2841" w:rsidP="00E91938">
      <w:pPr>
        <w:pStyle w:val="NormalWeb"/>
        <w:ind w:left="720" w:firstLine="720"/>
        <w:jc w:val="both"/>
      </w:pPr>
    </w:p>
    <w:p w:rsidR="00EB2841" w:rsidRPr="00E91938" w:rsidRDefault="00EB2841" w:rsidP="00E91938">
      <w:pPr>
        <w:pStyle w:val="NormalWeb"/>
        <w:numPr>
          <w:ilvl w:val="0"/>
          <w:numId w:val="2"/>
        </w:numPr>
        <w:jc w:val="both"/>
        <w:rPr>
          <w:b/>
          <w:bCs/>
          <w:sz w:val="28"/>
          <w:szCs w:val="28"/>
          <w:lang w:val="bg-BG"/>
        </w:rPr>
      </w:pPr>
      <w:r w:rsidRPr="00E91938">
        <w:rPr>
          <w:b/>
          <w:bCs/>
          <w:sz w:val="28"/>
          <w:szCs w:val="28"/>
          <w:lang w:val="bg-BG"/>
        </w:rPr>
        <w:t>Методология</w:t>
      </w:r>
    </w:p>
    <w:p w:rsidR="009C5505" w:rsidRPr="00E91938" w:rsidRDefault="009C5505" w:rsidP="00E91938">
      <w:pPr>
        <w:pStyle w:val="NormalWeb"/>
        <w:ind w:left="720" w:firstLine="720"/>
        <w:jc w:val="both"/>
      </w:pPr>
      <w:r w:rsidRPr="00E91938">
        <w:t xml:space="preserve">Настоящото изследване се основава на качествен методологически подход, който включва наблюдения и анализ на документи и доклади. Качествените изследвания са подходящи за детайлно </w:t>
      </w:r>
      <w:r w:rsidR="00702D55">
        <w:rPr>
          <w:lang w:val="bg-BG"/>
        </w:rPr>
        <w:t>проучване</w:t>
      </w:r>
      <w:r w:rsidRPr="00E91938">
        <w:t xml:space="preserve"> на сложни социални явления, като интеграцията на ромите, тъй като позволяват дълбоко вникване в контекста и нюансите на разглежданите въпроси.</w:t>
      </w:r>
    </w:p>
    <w:p w:rsidR="009C5505" w:rsidRPr="00E91938" w:rsidRDefault="009C5505" w:rsidP="00E91938">
      <w:pPr>
        <w:ind w:left="720" w:firstLine="720"/>
        <w:jc w:val="both"/>
      </w:pPr>
      <w:r w:rsidRPr="00E91938">
        <w:t>Един от основните методи, използвани в изследването, е методът на наблюдението. Този метод включва посещение на училища, в които учат деца от ромски произход. Чрез пряко наблюдение на учебния процес, взаимодействието между учениците и преподавателите, както и общата атмосфера в учебната среда, бяха събрани данни за реалното състояние на интеграционните усилия. Наблюдението на място позволява идентифициране на практически предизвикателства и успешни практики, които могат да не бъдат отразени в официалните документи и статистики.</w:t>
      </w:r>
    </w:p>
    <w:p w:rsidR="009C5505" w:rsidRPr="00E91938" w:rsidRDefault="009C5505" w:rsidP="00E91938">
      <w:pPr>
        <w:pStyle w:val="NormalWeb"/>
        <w:ind w:left="720" w:firstLine="720"/>
        <w:jc w:val="both"/>
      </w:pPr>
      <w:r w:rsidRPr="00E91938">
        <w:t xml:space="preserve">Другият основен метод, </w:t>
      </w:r>
      <w:r w:rsidRPr="00E91938">
        <w:rPr>
          <w:lang w:val="bg-BG"/>
        </w:rPr>
        <w:t>който използвах</w:t>
      </w:r>
      <w:r w:rsidRPr="00E91938">
        <w:t>, е анализът на съществуващи документи и доклади. За целта бяха прегледани и анализирани редица документи, включително правителствени стратегии, доклади на неправителствени организации и международни изследвания. Тези документи предоставят ценна информация за текущите политики и програми за интеграция на ромите, както и за резултатите от тяхното прилагане.</w:t>
      </w:r>
    </w:p>
    <w:p w:rsidR="009C5505" w:rsidRPr="00E91938" w:rsidRDefault="009C5505" w:rsidP="00E91938">
      <w:pPr>
        <w:pStyle w:val="NormalWeb"/>
        <w:ind w:left="720" w:firstLine="720"/>
        <w:jc w:val="both"/>
      </w:pPr>
      <w:r w:rsidRPr="00E91938">
        <w:lastRenderedPageBreak/>
        <w:t>Източници като доклада „Образователни постижения на ромските общности в България“ и други подобни изследвания, проведени от неправителствени организации, бяха използвани за сравнителен анализ. Чрез прегледа на тези доклади бяха идентифицирани ключовите показатели за успешност и неуспех на различните стратегии, както и пречките пред тяхното ефективно изпълнение.</w:t>
      </w:r>
    </w:p>
    <w:p w:rsidR="000F24C6" w:rsidRPr="00E91938" w:rsidRDefault="004069DE" w:rsidP="00E91938">
      <w:pPr>
        <w:pStyle w:val="NormalWeb"/>
        <w:ind w:left="720" w:firstLine="720"/>
        <w:jc w:val="both"/>
      </w:pPr>
      <w:r w:rsidRPr="00E91938">
        <w:t>Изборът на училища и документи за изследването е извършен чрез вероятностна извадка, която гарантира представителност на събраните данни. Училищата бяха избрани въз основа на тяхната демографска структура и наличие на ромски ученици, а документите - въз основа на тяхната релевантност и надеждност.</w:t>
      </w:r>
    </w:p>
    <w:p w:rsidR="00041B89" w:rsidRPr="00E91938" w:rsidRDefault="0021456C" w:rsidP="00E91938">
      <w:pPr>
        <w:pStyle w:val="NormalWeb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91938">
        <w:rPr>
          <w:b/>
          <w:bCs/>
          <w:sz w:val="28"/>
          <w:szCs w:val="28"/>
          <w:lang w:val="bg-BG"/>
        </w:rPr>
        <w:t>Анализ на данните</w:t>
      </w:r>
    </w:p>
    <w:p w:rsidR="00710FFD" w:rsidRDefault="007B06AD" w:rsidP="00E91938">
      <w:pPr>
        <w:pStyle w:val="ListParagraph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E91938">
        <w:rPr>
          <w:rFonts w:ascii="Times New Roman" w:eastAsia="Times New Roman" w:hAnsi="Times New Roman" w:cs="Times New Roman"/>
          <w:lang w:val="bg-BG" w:eastAsia="en-GB"/>
        </w:rPr>
        <w:t xml:space="preserve">Неправителствените организации </w:t>
      </w:r>
      <w:r w:rsidRPr="00E91938">
        <w:rPr>
          <w:rFonts w:ascii="Times New Roman" w:eastAsia="Times New Roman" w:hAnsi="Times New Roman" w:cs="Times New Roman"/>
          <w:lang w:eastAsia="en-GB"/>
        </w:rPr>
        <w:t>в България прилагат различни образователни програми, насочени към повишаване на грамотността и образователните постижения сред ромските деца. Те осигуряват учебни материали, стипендии и извънкласни занимания. Много НПО организират обучения за учители, за да им помогнат да разбират по-добре нуждите на ромските ученици. Програмите често включват и родителски съвети, които насърчават активното участие на родителите в учебния процес на техните деца.</w:t>
      </w:r>
    </w:p>
    <w:p w:rsidR="001C5787" w:rsidRDefault="001C5787" w:rsidP="00E91938">
      <w:pPr>
        <w:pStyle w:val="ListParagraph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:rsidR="001C5787" w:rsidRDefault="001C5787" w:rsidP="00E91938">
      <w:pPr>
        <w:pStyle w:val="ListParagraph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:rsidR="001C5787" w:rsidRDefault="001C5787" w:rsidP="001C5787">
      <w:pPr>
        <w:jc w:val="both"/>
      </w:pPr>
      <w:r>
        <w:rPr>
          <w:noProof/>
        </w:rPr>
        <w:drawing>
          <wp:inline distT="0" distB="0" distL="0" distR="0">
            <wp:extent cx="5731510" cy="40760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787" w:rsidRDefault="001C5787" w:rsidP="001C5787">
      <w:pPr>
        <w:jc w:val="both"/>
      </w:pPr>
    </w:p>
    <w:p w:rsidR="001C5787" w:rsidRDefault="001C5787" w:rsidP="001C5787">
      <w:pPr>
        <w:jc w:val="both"/>
      </w:pPr>
    </w:p>
    <w:p w:rsidR="001C5787" w:rsidRPr="001C5787" w:rsidRDefault="001C5787" w:rsidP="001C5787">
      <w:pPr>
        <w:jc w:val="both"/>
      </w:pPr>
    </w:p>
    <w:p w:rsidR="00710FFD" w:rsidRPr="00E91938" w:rsidRDefault="00710FFD" w:rsidP="00E91938">
      <w:pPr>
        <w:spacing w:before="100" w:beforeAutospacing="1" w:after="100" w:afterAutospacing="1"/>
        <w:ind w:left="720" w:firstLine="720"/>
        <w:jc w:val="both"/>
        <w:rPr>
          <w:i/>
          <w:iCs/>
        </w:rPr>
      </w:pPr>
      <w:r w:rsidRPr="00E91938">
        <w:rPr>
          <w:i/>
          <w:iCs/>
        </w:rPr>
        <w:lastRenderedPageBreak/>
        <w:t xml:space="preserve">Примери за </w:t>
      </w:r>
      <w:r w:rsidR="00221091" w:rsidRPr="00E91938">
        <w:rPr>
          <w:i/>
          <w:iCs/>
          <w:lang w:val="bg-BG"/>
        </w:rPr>
        <w:t>НПО</w:t>
      </w:r>
      <w:r w:rsidRPr="00E91938">
        <w:rPr>
          <w:i/>
          <w:iCs/>
        </w:rPr>
        <w:t xml:space="preserve"> и инициативи:</w:t>
      </w:r>
    </w:p>
    <w:p w:rsidR="00710FFD" w:rsidRPr="00E91938" w:rsidRDefault="00710FFD" w:rsidP="00E9193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91938">
        <w:rPr>
          <w:b/>
          <w:bCs/>
        </w:rPr>
        <w:t>Център "Амалипе":</w:t>
      </w:r>
      <w:r w:rsidRPr="00E91938">
        <w:t xml:space="preserve"> Тази организация работи за насърчаване на образователната интеграция на ромските деца чрез програми като "</w:t>
      </w:r>
      <w:r w:rsidR="00427C4D" w:rsidRPr="00E91938">
        <w:rPr>
          <w:lang w:val="bg-BG"/>
        </w:rPr>
        <w:t xml:space="preserve">Фолклор на етносите – ромски фолклор“. </w:t>
      </w:r>
      <w:r w:rsidRPr="00E91938">
        <w:t xml:space="preserve">Те осигуряват учебни материали и организират извънкласни занимания, както и обучения за учители и родители. Освен това, "Амалипе" </w:t>
      </w:r>
      <w:r w:rsidR="00427C4D" w:rsidRPr="00E91938">
        <w:rPr>
          <w:lang w:val="bg-BG"/>
        </w:rPr>
        <w:t>цели</w:t>
      </w:r>
      <w:r w:rsidRPr="00E91938">
        <w:t xml:space="preserve"> намаляване на отсъствията и предотвратяване на ранното отпадане от училище, чрез програми за наставничество и менторство.</w:t>
      </w:r>
    </w:p>
    <w:p w:rsidR="00B512E0" w:rsidRDefault="00B512E0" w:rsidP="00E91938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E91938">
        <w:rPr>
          <w:rFonts w:ascii="Times New Roman" w:eastAsia="Times New Roman" w:hAnsi="Times New Roman" w:cs="Times New Roman"/>
          <w:b/>
          <w:bCs/>
          <w:lang w:eastAsia="en-GB"/>
        </w:rPr>
        <w:t>"Ромски култур</w:t>
      </w:r>
      <w:r w:rsidR="005F3591">
        <w:rPr>
          <w:rFonts w:ascii="Times New Roman" w:eastAsia="Times New Roman" w:hAnsi="Times New Roman" w:cs="Times New Roman"/>
          <w:b/>
          <w:bCs/>
          <w:lang w:val="bg-BG" w:eastAsia="en-GB"/>
        </w:rPr>
        <w:t>но</w:t>
      </w:r>
      <w:r w:rsidR="00C644F2">
        <w:rPr>
          <w:rFonts w:ascii="Times New Roman" w:eastAsia="Times New Roman" w:hAnsi="Times New Roman" w:cs="Times New Roman"/>
          <w:b/>
          <w:bCs/>
          <w:lang w:val="bg-BG" w:eastAsia="en-GB"/>
        </w:rPr>
        <w:t>-</w:t>
      </w:r>
      <w:r w:rsidRPr="00E91938">
        <w:rPr>
          <w:rFonts w:ascii="Times New Roman" w:eastAsia="Times New Roman" w:hAnsi="Times New Roman" w:cs="Times New Roman"/>
          <w:b/>
          <w:bCs/>
          <w:lang w:eastAsia="en-GB"/>
        </w:rPr>
        <w:t>информационен център":</w:t>
      </w:r>
      <w:r w:rsidRPr="00E91938">
        <w:rPr>
          <w:rFonts w:ascii="Times New Roman" w:eastAsia="Times New Roman" w:hAnsi="Times New Roman" w:cs="Times New Roman"/>
          <w:lang w:eastAsia="en-GB"/>
        </w:rPr>
        <w:t xml:space="preserve"> Организира културни и образователни инициативи, които целят да подобрят разбирането и приемането на ромската култура в обществото. Центърът също така предоставя правни консултации и помощ при намиране на работа.</w:t>
      </w:r>
    </w:p>
    <w:p w:rsidR="00857250" w:rsidRDefault="00857250" w:rsidP="00857250">
      <w:pPr>
        <w:pStyle w:val="ListParagraph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:rsidR="00857250" w:rsidRDefault="00857250" w:rsidP="00857250">
      <w:pPr>
        <w:pStyle w:val="ListParagraph"/>
        <w:jc w:val="both"/>
        <w:rPr>
          <w:rFonts w:ascii="Times New Roman" w:eastAsia="Times New Roman" w:hAnsi="Times New Roman" w:cs="Times New Roman"/>
          <w:b/>
          <w:bCs/>
          <w:lang w:val="bg-BG" w:eastAsia="en-GB"/>
        </w:rPr>
      </w:pPr>
      <w:r>
        <w:rPr>
          <w:rFonts w:ascii="Times New Roman" w:eastAsia="Times New Roman" w:hAnsi="Times New Roman" w:cs="Times New Roman"/>
          <w:b/>
          <w:bCs/>
          <w:lang w:val="bg-BG" w:eastAsia="en-GB"/>
        </w:rPr>
        <w:t>Ученикът посещава ли училище в момента?</w:t>
      </w:r>
    </w:p>
    <w:p w:rsidR="00857250" w:rsidRPr="005C42FD" w:rsidRDefault="00857250" w:rsidP="00857250">
      <w:pPr>
        <w:pStyle w:val="ListParagraph"/>
        <w:jc w:val="both"/>
        <w:rPr>
          <w:rFonts w:ascii="Times New Roman" w:eastAsia="Times New Roman" w:hAnsi="Times New Roman" w:cs="Times New Roman"/>
          <w:i/>
          <w:iCs/>
          <w:lang w:val="bg-BG" w:eastAsia="en-GB"/>
        </w:rPr>
      </w:pPr>
      <w:r w:rsidRPr="005C42FD">
        <w:rPr>
          <w:rFonts w:ascii="Times New Roman" w:eastAsia="Times New Roman" w:hAnsi="Times New Roman" w:cs="Times New Roman"/>
          <w:i/>
          <w:iCs/>
          <w:lang w:val="bg-BG" w:eastAsia="en-GB"/>
        </w:rPr>
        <w:t>Основна извадка 2019</w:t>
      </w:r>
    </w:p>
    <w:p w:rsidR="00857250" w:rsidRDefault="00857250" w:rsidP="00857250">
      <w:pPr>
        <w:jc w:val="both"/>
      </w:pPr>
    </w:p>
    <w:tbl>
      <w:tblPr>
        <w:tblStyle w:val="TableGrid"/>
        <w:tblW w:w="9340" w:type="dxa"/>
        <w:tblLook w:val="06A0" w:firstRow="1" w:lastRow="0" w:firstColumn="1" w:lastColumn="0" w:noHBand="1" w:noVBand="1"/>
      </w:tblPr>
      <w:tblGrid>
        <w:gridCol w:w="3113"/>
        <w:gridCol w:w="3113"/>
        <w:gridCol w:w="3114"/>
      </w:tblGrid>
      <w:tr w:rsidR="00857250" w:rsidTr="00857250">
        <w:trPr>
          <w:trHeight w:val="299"/>
        </w:trPr>
        <w:tc>
          <w:tcPr>
            <w:tcW w:w="3113" w:type="dxa"/>
          </w:tcPr>
          <w:p w:rsidR="00857250" w:rsidRDefault="00857250" w:rsidP="00857250">
            <w:pPr>
              <w:jc w:val="both"/>
            </w:pPr>
          </w:p>
        </w:tc>
        <w:tc>
          <w:tcPr>
            <w:tcW w:w="3113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  <w:tc>
          <w:tcPr>
            <w:tcW w:w="3114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857250" w:rsidTr="00857250">
        <w:trPr>
          <w:trHeight w:val="299"/>
        </w:trPr>
        <w:tc>
          <w:tcPr>
            <w:tcW w:w="3113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7-10 г.</w:t>
            </w:r>
          </w:p>
        </w:tc>
        <w:tc>
          <w:tcPr>
            <w:tcW w:w="3113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95,30%</w:t>
            </w:r>
          </w:p>
        </w:tc>
        <w:tc>
          <w:tcPr>
            <w:tcW w:w="3114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4.70%</w:t>
            </w:r>
          </w:p>
        </w:tc>
      </w:tr>
      <w:tr w:rsidR="00857250" w:rsidTr="00857250">
        <w:trPr>
          <w:trHeight w:val="299"/>
        </w:trPr>
        <w:tc>
          <w:tcPr>
            <w:tcW w:w="3113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11-14 г.</w:t>
            </w:r>
          </w:p>
        </w:tc>
        <w:tc>
          <w:tcPr>
            <w:tcW w:w="3113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91,60%</w:t>
            </w:r>
          </w:p>
        </w:tc>
        <w:tc>
          <w:tcPr>
            <w:tcW w:w="3114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8,40%</w:t>
            </w:r>
          </w:p>
        </w:tc>
      </w:tr>
      <w:tr w:rsidR="00857250" w:rsidTr="00857250">
        <w:trPr>
          <w:trHeight w:val="299"/>
        </w:trPr>
        <w:tc>
          <w:tcPr>
            <w:tcW w:w="3113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15-18 г.</w:t>
            </w:r>
          </w:p>
        </w:tc>
        <w:tc>
          <w:tcPr>
            <w:tcW w:w="3113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63,00%</w:t>
            </w:r>
          </w:p>
        </w:tc>
        <w:tc>
          <w:tcPr>
            <w:tcW w:w="3114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37,00%</w:t>
            </w:r>
          </w:p>
        </w:tc>
      </w:tr>
      <w:tr w:rsidR="00857250" w:rsidTr="00857250">
        <w:trPr>
          <w:trHeight w:val="278"/>
        </w:trPr>
        <w:tc>
          <w:tcPr>
            <w:tcW w:w="3113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Общо</w:t>
            </w:r>
          </w:p>
        </w:tc>
        <w:tc>
          <w:tcPr>
            <w:tcW w:w="3113" w:type="dxa"/>
          </w:tcPr>
          <w:p w:rsidR="00857250" w:rsidRPr="00857250" w:rsidRDefault="00857250" w:rsidP="0085725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84,10%</w:t>
            </w:r>
          </w:p>
        </w:tc>
        <w:tc>
          <w:tcPr>
            <w:tcW w:w="3114" w:type="dxa"/>
          </w:tcPr>
          <w:p w:rsidR="00857250" w:rsidRPr="00857250" w:rsidRDefault="00857250" w:rsidP="00857250">
            <w:pPr>
              <w:rPr>
                <w:lang w:val="bg-BG"/>
              </w:rPr>
            </w:pPr>
            <w:r>
              <w:rPr>
                <w:lang w:val="bg-BG"/>
              </w:rPr>
              <w:t>15,90%</w:t>
            </w:r>
          </w:p>
        </w:tc>
      </w:tr>
    </w:tbl>
    <w:p w:rsidR="00857250" w:rsidRDefault="00857250" w:rsidP="00857250">
      <w:pPr>
        <w:jc w:val="both"/>
      </w:pPr>
    </w:p>
    <w:p w:rsidR="005C42FD" w:rsidRDefault="005C42FD" w:rsidP="00857250">
      <w:pPr>
        <w:jc w:val="both"/>
      </w:pPr>
    </w:p>
    <w:p w:rsidR="005C42FD" w:rsidRDefault="005C42FD" w:rsidP="00857250">
      <w:pPr>
        <w:jc w:val="both"/>
      </w:pPr>
    </w:p>
    <w:p w:rsidR="005C42FD" w:rsidRDefault="005C42FD" w:rsidP="00857250">
      <w:pPr>
        <w:jc w:val="both"/>
      </w:pPr>
    </w:p>
    <w:p w:rsidR="005C42FD" w:rsidRDefault="005C42FD" w:rsidP="00857250">
      <w:pPr>
        <w:jc w:val="both"/>
      </w:pPr>
    </w:p>
    <w:p w:rsidR="005C42FD" w:rsidRDefault="005C42FD" w:rsidP="005C42FD">
      <w:pPr>
        <w:ind w:firstLine="720"/>
        <w:jc w:val="both"/>
        <w:rPr>
          <w:i/>
          <w:iCs/>
          <w:lang w:val="bg-BG"/>
        </w:rPr>
      </w:pPr>
      <w:r w:rsidRPr="005C42FD">
        <w:rPr>
          <w:i/>
          <w:iCs/>
          <w:lang w:val="bg-BG"/>
        </w:rPr>
        <w:t>Бустер 2019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5C42FD" w:rsidTr="005C42FD">
        <w:trPr>
          <w:trHeight w:val="326"/>
        </w:trPr>
        <w:tc>
          <w:tcPr>
            <w:tcW w:w="3118" w:type="dxa"/>
          </w:tcPr>
          <w:p w:rsidR="005C42FD" w:rsidRPr="005C42FD" w:rsidRDefault="005C42FD" w:rsidP="005C42F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7-10 г.</w:t>
            </w:r>
          </w:p>
        </w:tc>
        <w:tc>
          <w:tcPr>
            <w:tcW w:w="3118" w:type="dxa"/>
          </w:tcPr>
          <w:p w:rsidR="005C42FD" w:rsidRPr="005C42FD" w:rsidRDefault="005C42FD" w:rsidP="005C42FD">
            <w:pPr>
              <w:jc w:val="both"/>
              <w:rPr>
                <w:lang w:val="bg-BG"/>
              </w:rPr>
            </w:pPr>
            <w:r w:rsidRPr="005C42FD">
              <w:rPr>
                <w:lang w:val="bg-BG"/>
              </w:rPr>
              <w:t>90,90%</w:t>
            </w:r>
          </w:p>
        </w:tc>
        <w:tc>
          <w:tcPr>
            <w:tcW w:w="3119" w:type="dxa"/>
          </w:tcPr>
          <w:p w:rsidR="005C42FD" w:rsidRPr="005C42FD" w:rsidRDefault="005C42FD" w:rsidP="005C42FD">
            <w:pPr>
              <w:jc w:val="both"/>
              <w:rPr>
                <w:lang w:val="bg-BG"/>
              </w:rPr>
            </w:pPr>
            <w:r w:rsidRPr="005C42FD">
              <w:rPr>
                <w:lang w:val="bg-BG"/>
              </w:rPr>
              <w:t>9,10%</w:t>
            </w:r>
          </w:p>
        </w:tc>
      </w:tr>
      <w:tr w:rsidR="005C42FD" w:rsidTr="005C42FD">
        <w:trPr>
          <w:trHeight w:val="326"/>
        </w:trPr>
        <w:tc>
          <w:tcPr>
            <w:tcW w:w="3118" w:type="dxa"/>
          </w:tcPr>
          <w:p w:rsidR="005C42FD" w:rsidRPr="005C42FD" w:rsidRDefault="005C42FD" w:rsidP="005C42F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11-14 г.</w:t>
            </w:r>
          </w:p>
        </w:tc>
        <w:tc>
          <w:tcPr>
            <w:tcW w:w="3118" w:type="dxa"/>
          </w:tcPr>
          <w:p w:rsidR="005C42FD" w:rsidRPr="005C42FD" w:rsidRDefault="005C42FD" w:rsidP="005C42FD">
            <w:pPr>
              <w:jc w:val="both"/>
              <w:rPr>
                <w:lang w:val="bg-BG"/>
              </w:rPr>
            </w:pPr>
            <w:r w:rsidRPr="005C42FD">
              <w:rPr>
                <w:lang w:val="bg-BG"/>
              </w:rPr>
              <w:t>93,50%</w:t>
            </w:r>
          </w:p>
        </w:tc>
        <w:tc>
          <w:tcPr>
            <w:tcW w:w="3119" w:type="dxa"/>
          </w:tcPr>
          <w:p w:rsidR="005C42FD" w:rsidRPr="005C42FD" w:rsidRDefault="005C42FD" w:rsidP="005C42FD">
            <w:pPr>
              <w:jc w:val="both"/>
              <w:rPr>
                <w:lang w:val="bg-BG"/>
              </w:rPr>
            </w:pPr>
            <w:r w:rsidRPr="005C42FD">
              <w:rPr>
                <w:lang w:val="bg-BG"/>
              </w:rPr>
              <w:t>6,50%</w:t>
            </w:r>
          </w:p>
        </w:tc>
      </w:tr>
      <w:tr w:rsidR="005C42FD" w:rsidTr="005C42FD">
        <w:trPr>
          <w:trHeight w:val="303"/>
        </w:trPr>
        <w:tc>
          <w:tcPr>
            <w:tcW w:w="3118" w:type="dxa"/>
          </w:tcPr>
          <w:p w:rsidR="005C42FD" w:rsidRPr="005C42FD" w:rsidRDefault="005C42FD" w:rsidP="005C42F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15-18 г.</w:t>
            </w:r>
          </w:p>
        </w:tc>
        <w:tc>
          <w:tcPr>
            <w:tcW w:w="3118" w:type="dxa"/>
          </w:tcPr>
          <w:p w:rsidR="005C42FD" w:rsidRPr="005C42FD" w:rsidRDefault="005C42FD" w:rsidP="005C42FD">
            <w:pPr>
              <w:jc w:val="both"/>
              <w:rPr>
                <w:lang w:val="bg-BG"/>
              </w:rPr>
            </w:pPr>
            <w:r w:rsidRPr="005C42FD">
              <w:rPr>
                <w:lang w:val="bg-BG"/>
              </w:rPr>
              <w:t>73,50</w:t>
            </w:r>
          </w:p>
        </w:tc>
        <w:tc>
          <w:tcPr>
            <w:tcW w:w="3119" w:type="dxa"/>
          </w:tcPr>
          <w:p w:rsidR="005C42FD" w:rsidRPr="005C42FD" w:rsidRDefault="005C42FD" w:rsidP="005C42FD">
            <w:pPr>
              <w:jc w:val="both"/>
              <w:rPr>
                <w:lang w:val="bg-BG"/>
              </w:rPr>
            </w:pPr>
            <w:r w:rsidRPr="005C42FD">
              <w:rPr>
                <w:lang w:val="bg-BG"/>
              </w:rPr>
              <w:t>26,50%</w:t>
            </w:r>
          </w:p>
        </w:tc>
      </w:tr>
      <w:tr w:rsidR="005C42FD" w:rsidTr="005C42FD">
        <w:trPr>
          <w:trHeight w:val="303"/>
        </w:trPr>
        <w:tc>
          <w:tcPr>
            <w:tcW w:w="3118" w:type="dxa"/>
          </w:tcPr>
          <w:p w:rsidR="005C42FD" w:rsidRDefault="005C42FD" w:rsidP="005C42FD">
            <w:pPr>
              <w:jc w:val="both"/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Общо</w:t>
            </w:r>
          </w:p>
        </w:tc>
        <w:tc>
          <w:tcPr>
            <w:tcW w:w="3118" w:type="dxa"/>
          </w:tcPr>
          <w:p w:rsidR="005C42FD" w:rsidRPr="005C42FD" w:rsidRDefault="005C42FD" w:rsidP="005C42FD">
            <w:pPr>
              <w:tabs>
                <w:tab w:val="center" w:pos="1394"/>
              </w:tabs>
              <w:jc w:val="both"/>
              <w:rPr>
                <w:lang w:val="bg-BG"/>
              </w:rPr>
            </w:pPr>
            <w:r w:rsidRPr="005C42FD">
              <w:rPr>
                <w:lang w:val="bg-BG"/>
              </w:rPr>
              <w:t>86.20%</w:t>
            </w:r>
          </w:p>
        </w:tc>
        <w:tc>
          <w:tcPr>
            <w:tcW w:w="3119" w:type="dxa"/>
          </w:tcPr>
          <w:p w:rsidR="005C42FD" w:rsidRPr="005C42FD" w:rsidRDefault="005C42FD" w:rsidP="005C42FD">
            <w:pPr>
              <w:jc w:val="both"/>
              <w:rPr>
                <w:lang w:val="bg-BG"/>
              </w:rPr>
            </w:pPr>
            <w:r w:rsidRPr="005C42FD">
              <w:rPr>
                <w:lang w:val="bg-BG"/>
              </w:rPr>
              <w:t>13,80%</w:t>
            </w:r>
          </w:p>
        </w:tc>
      </w:tr>
    </w:tbl>
    <w:p w:rsidR="005C42FD" w:rsidRPr="005C42FD" w:rsidRDefault="005C42FD" w:rsidP="005C42FD">
      <w:pPr>
        <w:ind w:firstLine="720"/>
        <w:jc w:val="both"/>
        <w:rPr>
          <w:i/>
          <w:iCs/>
          <w:lang w:val="bg-BG"/>
        </w:rPr>
      </w:pPr>
    </w:p>
    <w:p w:rsidR="005C42FD" w:rsidRPr="005C42FD" w:rsidRDefault="005C42FD" w:rsidP="00857250">
      <w:pPr>
        <w:jc w:val="both"/>
        <w:rPr>
          <w:lang w:val="bg-BG"/>
        </w:rPr>
      </w:pPr>
    </w:p>
    <w:p w:rsidR="002E0321" w:rsidRPr="00E91938" w:rsidRDefault="002E0321" w:rsidP="00E91938">
      <w:pPr>
        <w:ind w:left="360"/>
        <w:jc w:val="both"/>
      </w:pPr>
    </w:p>
    <w:p w:rsidR="00B13DEE" w:rsidRDefault="002E0321" w:rsidP="00E91938">
      <w:pPr>
        <w:ind w:left="720" w:firstLine="360"/>
        <w:jc w:val="both"/>
      </w:pPr>
      <w:r w:rsidRPr="00E91938">
        <w:t>Тези инициативи имат за цел да намалят ранното отпадане от училище и да повишат мотивацията за учене сред ромските деца. Успешни програми показват значително повишаване на грамотността и по-добри образователни резултати. Участието на родителите в образователния процес също играе ключова роля за поддържане на устойчиви резултати. Чрез обученията за учители се подобрява разбирането и подхода към ромските ученици, което води до по-добра учебна среда. Например, програми като "Приятели на ромското образование" постигат намаляване на ранното отпадане от училище с до 30% в определени райони.</w:t>
      </w:r>
    </w:p>
    <w:p w:rsidR="00857250" w:rsidRPr="00E91938" w:rsidRDefault="00857250" w:rsidP="00E91938">
      <w:pPr>
        <w:ind w:left="720" w:firstLine="360"/>
        <w:jc w:val="both"/>
      </w:pPr>
    </w:p>
    <w:p w:rsidR="00B13DEE" w:rsidRDefault="00B13DEE" w:rsidP="00E91938">
      <w:pPr>
        <w:ind w:left="720" w:firstLine="720"/>
        <w:jc w:val="both"/>
      </w:pPr>
      <w:r w:rsidRPr="00E91938">
        <w:t xml:space="preserve">Основните предизвикателства включват ограничени финансови ресурси и необходимостта от дългосрочна подкрепа. НПО често разчитат на проекти с ограничено финансиране, което може да ограничи възможностите за продължителност и мащаб на програмите. Освен това, културните бариери и липсата на доверие от страна на ромските общности могат да затруднят ефективното изпълнение на програмите. Например, липсата на достатъчно </w:t>
      </w:r>
      <w:r w:rsidRPr="00E91938">
        <w:lastRenderedPageBreak/>
        <w:t>обучени учители, които да разбират културните специфики на ромските деца, може да доведе до неефективно преподаване и ниски образователни резултати.</w:t>
      </w:r>
    </w:p>
    <w:p w:rsidR="00C644F2" w:rsidRPr="00E91938" w:rsidRDefault="00C644F2" w:rsidP="00E91938">
      <w:pPr>
        <w:ind w:left="720" w:firstLine="720"/>
        <w:jc w:val="both"/>
      </w:pPr>
    </w:p>
    <w:p w:rsidR="00B512E0" w:rsidRPr="00E91938" w:rsidRDefault="00221091" w:rsidP="00E91938">
      <w:pPr>
        <w:ind w:left="720" w:firstLine="720"/>
        <w:jc w:val="both"/>
      </w:pPr>
      <w:r w:rsidRPr="00E91938">
        <w:rPr>
          <w:lang w:val="bg-BG"/>
        </w:rPr>
        <w:t>П</w:t>
      </w:r>
      <w:r w:rsidR="00B512E0" w:rsidRPr="00E91938">
        <w:t>реодоляване на стереотипите и дискриминацията, както и осигуряване на устойчиво финансиране за програмите</w:t>
      </w:r>
      <w:r w:rsidRPr="00E91938">
        <w:rPr>
          <w:lang w:val="bg-BG"/>
        </w:rPr>
        <w:t xml:space="preserve"> също представляват пречка за ефективността </w:t>
      </w:r>
      <w:r w:rsidR="00C644F2">
        <w:rPr>
          <w:lang w:val="bg-BG"/>
        </w:rPr>
        <w:t>им</w:t>
      </w:r>
      <w:r w:rsidR="00B512E0" w:rsidRPr="00E91938">
        <w:t>. Например, липсата на разбиране и приемане на ромската култура от по-широката общественост често води до социална изолация и дискриминация.</w:t>
      </w:r>
    </w:p>
    <w:p w:rsidR="003E4A2B" w:rsidRPr="00E91938" w:rsidRDefault="003E4A2B" w:rsidP="00E91938">
      <w:pPr>
        <w:spacing w:before="100" w:beforeAutospacing="1" w:after="100" w:afterAutospacing="1"/>
        <w:ind w:left="720" w:firstLine="720"/>
        <w:jc w:val="both"/>
        <w:outlineLvl w:val="2"/>
        <w:rPr>
          <w:b/>
          <w:bCs/>
        </w:rPr>
      </w:pPr>
      <w:r w:rsidRPr="00E91938">
        <w:rPr>
          <w:b/>
          <w:bCs/>
        </w:rPr>
        <w:t>Стратегии на Министерството на образованието и науката (МОН)</w:t>
      </w:r>
    </w:p>
    <w:p w:rsidR="003E4A2B" w:rsidRPr="00E91938" w:rsidRDefault="003E4A2B" w:rsidP="00E91938">
      <w:pPr>
        <w:spacing w:before="100" w:beforeAutospacing="1" w:after="100" w:afterAutospacing="1"/>
        <w:ind w:left="720" w:firstLine="720"/>
        <w:jc w:val="both"/>
        <w:outlineLvl w:val="3"/>
        <w:rPr>
          <w:b/>
          <w:bCs/>
        </w:rPr>
      </w:pPr>
      <w:r w:rsidRPr="00E91938">
        <w:t>Министерството на образованието и науката (МОН) реализира програми, насочени към осигуряване на достъп до предучилищно образование за ромските деца. Тези програми включват осигуряване на безплатни учебни материали и храна, както и обучение на учители за работа в мултикултурна среда. Програмите на МОН често се основават на публично-частни партньорства, които включват сътрудничество с местни власти, НПО и международни организации.</w:t>
      </w:r>
    </w:p>
    <w:p w:rsidR="003E4A2B" w:rsidRPr="00E91938" w:rsidRDefault="003E4A2B" w:rsidP="00E91938">
      <w:pPr>
        <w:spacing w:before="100" w:beforeAutospacing="1" w:after="100" w:afterAutospacing="1"/>
        <w:ind w:left="720" w:firstLine="720"/>
        <w:jc w:val="both"/>
        <w:rPr>
          <w:i/>
          <w:iCs/>
        </w:rPr>
      </w:pPr>
      <w:r w:rsidRPr="00E91938">
        <w:rPr>
          <w:i/>
          <w:iCs/>
        </w:rPr>
        <w:t>Примери за програми:</w:t>
      </w:r>
    </w:p>
    <w:p w:rsidR="00C644F2" w:rsidRPr="00C644F2" w:rsidRDefault="003E4A2B" w:rsidP="00C644F2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91938">
        <w:rPr>
          <w:b/>
          <w:bCs/>
        </w:rPr>
        <w:t>"Подкрепа за предучилищно образование на деца в неравностойно положение":</w:t>
      </w:r>
      <w:r w:rsidRPr="00E91938">
        <w:t xml:space="preserve"> Тази програма осигурява финансова подкрепа и ресурси за ромските деца в предучилищна възраст. Програмата </w:t>
      </w:r>
      <w:r w:rsidR="00C644F2">
        <w:rPr>
          <w:lang w:val="bg-BG"/>
        </w:rPr>
        <w:t xml:space="preserve">също така </w:t>
      </w:r>
      <w:r w:rsidRPr="00E91938">
        <w:t>включва обучение на учители и осигуряване на подходяща учебна среда.</w:t>
      </w:r>
    </w:p>
    <w:p w:rsidR="00221091" w:rsidRPr="00E91938" w:rsidRDefault="003E4A2B" w:rsidP="00E9193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91938">
        <w:rPr>
          <w:b/>
          <w:bCs/>
        </w:rPr>
        <w:t>"Образование за всички":</w:t>
      </w:r>
      <w:r w:rsidRPr="00E91938">
        <w:t xml:space="preserve"> Програма, </w:t>
      </w:r>
      <w:r w:rsidR="00C644F2">
        <w:rPr>
          <w:lang w:val="bg-BG"/>
        </w:rPr>
        <w:t xml:space="preserve">която се занимава с </w:t>
      </w:r>
      <w:r w:rsidRPr="00E91938">
        <w:t>обучение на учители и осигуряване на учебни материали за децата. Програмата също така включва инициативи за родителите в образователния процес и за насърчаване на тяхната подкрепа.</w:t>
      </w:r>
    </w:p>
    <w:p w:rsidR="00221091" w:rsidRPr="00E91938" w:rsidRDefault="00073A57" w:rsidP="00E91938">
      <w:pPr>
        <w:spacing w:before="100" w:beforeAutospacing="1" w:after="100" w:afterAutospacing="1"/>
        <w:ind w:left="720" w:firstLine="360"/>
        <w:jc w:val="both"/>
      </w:pPr>
      <w:r w:rsidRPr="00E91938">
        <w:rPr>
          <w:lang w:val="bg-BG"/>
        </w:rPr>
        <w:t>Министерството на образованието с т</w:t>
      </w:r>
      <w:r w:rsidR="003E4A2B" w:rsidRPr="00E91938">
        <w:t xml:space="preserve">ези програми </w:t>
      </w:r>
      <w:r w:rsidRPr="00E91938">
        <w:rPr>
          <w:lang w:val="bg-BG"/>
        </w:rPr>
        <w:t xml:space="preserve">цели </w:t>
      </w:r>
      <w:r w:rsidR="003E4A2B" w:rsidRPr="00E91938">
        <w:t>да осигур</w:t>
      </w:r>
      <w:r w:rsidRPr="00E91938">
        <w:rPr>
          <w:lang w:val="bg-BG"/>
        </w:rPr>
        <w:t xml:space="preserve">и </w:t>
      </w:r>
      <w:r w:rsidR="003E4A2B" w:rsidRPr="00E91938">
        <w:t>равен старт за всички деца, включително ромските, като им предоставят необходимите ресурси за успешен учебен процес. Осигуряването на безплатни учебни материали и храна намалява финансовата тежест върху семействата и увеличава посещаемостта в предучилищните заведения. Обучението на учители също така подобрява качеството на преподаване и способността им да работят в мултикултурна среда. Програмата "Подкрепа за предучилищно образование на деца в неравностойно положение" води до значително повишаване на посещаемостта и успеха на децата в училище.</w:t>
      </w:r>
      <w:r w:rsidRPr="00E91938">
        <w:rPr>
          <w:lang w:val="bg-BG"/>
        </w:rPr>
        <w:t xml:space="preserve"> Други програми</w:t>
      </w:r>
      <w:r w:rsidR="00230D95" w:rsidRPr="00E91938">
        <w:rPr>
          <w:lang w:val="bg-BG"/>
        </w:rPr>
        <w:t>, които МОН финансира са на НПО като</w:t>
      </w:r>
      <w:r w:rsidRPr="00E91938">
        <w:rPr>
          <w:lang w:val="bg-BG"/>
        </w:rPr>
        <w:t xml:space="preserve"> „Национална програма за подпомагане на ученици от етническите малцинства“ и „Образователни медиатори“ </w:t>
      </w:r>
      <w:r w:rsidR="00C644F2">
        <w:rPr>
          <w:lang w:val="bg-BG"/>
        </w:rPr>
        <w:t xml:space="preserve">и </w:t>
      </w:r>
      <w:r w:rsidRPr="00E91938">
        <w:rPr>
          <w:lang w:val="bg-BG"/>
        </w:rPr>
        <w:t xml:space="preserve">имат за цел да подобрят  </w:t>
      </w:r>
      <w:r w:rsidRPr="00E91938">
        <w:t xml:space="preserve">академичните резултати на ромските ученици и да насърчат тяхното включване в образователната система. </w:t>
      </w:r>
    </w:p>
    <w:p w:rsidR="003E4A2B" w:rsidRPr="00E91938" w:rsidRDefault="003E4A2B" w:rsidP="00E91938">
      <w:pPr>
        <w:spacing w:before="100" w:beforeAutospacing="1" w:after="100" w:afterAutospacing="1"/>
        <w:ind w:left="720" w:firstLine="360"/>
        <w:jc w:val="both"/>
      </w:pPr>
      <w:r w:rsidRPr="00E91938">
        <w:t>Основните предизвикателства включват осигуряване на достатъчно финансови ресурси и персонал за изпълнение на програмите, както и преодоляване на културните бариери и стереотипите, които могат да попречат на ефективното включване на ромските деца в образователната система. Например, в някои райони липсата на предучилищни заведения или тяхната ограничена капацитетност представлява сериозна пречка пред достъпа до качествено предучилищно образование</w:t>
      </w:r>
      <w:r w:rsidR="00C644F2">
        <w:rPr>
          <w:lang w:val="bg-BG"/>
        </w:rPr>
        <w:t xml:space="preserve"> за ромските деца</w:t>
      </w:r>
      <w:r w:rsidRPr="00E91938">
        <w:t>.</w:t>
      </w:r>
    </w:p>
    <w:p w:rsidR="003E4A2B" w:rsidRPr="00E91938" w:rsidRDefault="003E4A2B" w:rsidP="00E91938">
      <w:pPr>
        <w:spacing w:before="100" w:beforeAutospacing="1" w:after="100" w:afterAutospacing="1"/>
        <w:ind w:left="720" w:firstLine="720"/>
        <w:jc w:val="both"/>
      </w:pPr>
      <w:r w:rsidRPr="00E91938">
        <w:lastRenderedPageBreak/>
        <w:t>МОН предоставя стипендии и финансова подкрепа на ромските ученици, които постигат добри резултати. Освен това, министерството организира допълнителни занимания и курсове за повишаване на академичната подготовка на ромските ученици. Програмите включват и подкрепа за учителите, за да могат те по-ефективно да работят с деца от различни културни среди. Програмите също така включват родителски съвети и сътрудничество с НПО за насърчаване на семейната подкрепа за образованието.</w:t>
      </w:r>
    </w:p>
    <w:p w:rsidR="003E4A2B" w:rsidRPr="00E91938" w:rsidRDefault="003E4A2B" w:rsidP="00E9193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91938">
        <w:rPr>
          <w:b/>
          <w:bCs/>
        </w:rPr>
        <w:t>"Национална програма за подпомагане на ученици от етническите малцинства":</w:t>
      </w:r>
      <w:r w:rsidRPr="00E91938">
        <w:t xml:space="preserve"> Осигурява стипендии и финансова подкрепа за ромските ученици, които постигат добри резултати. Програмата също така включва подкрепа за организиране на извънкласни занимания и курсове.</w:t>
      </w:r>
    </w:p>
    <w:p w:rsidR="003E4A2B" w:rsidRPr="00E91938" w:rsidRDefault="003E4A2B" w:rsidP="00E9193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91938">
        <w:rPr>
          <w:b/>
          <w:bCs/>
        </w:rPr>
        <w:t>"Образователни медиатори":</w:t>
      </w:r>
      <w:r w:rsidRPr="00E91938">
        <w:t xml:space="preserve"> </w:t>
      </w:r>
      <w:r w:rsidR="00C644F2">
        <w:rPr>
          <w:lang w:val="bg-BG"/>
        </w:rPr>
        <w:t>Голям проект</w:t>
      </w:r>
      <w:r w:rsidRPr="00E91938">
        <w:t xml:space="preserve">, </w:t>
      </w:r>
      <w:r w:rsidR="00C644F2">
        <w:rPr>
          <w:lang w:val="bg-BG"/>
        </w:rPr>
        <w:t>в който се</w:t>
      </w:r>
      <w:r w:rsidRPr="00E91938">
        <w:t xml:space="preserve"> назначава</w:t>
      </w:r>
      <w:r w:rsidR="00C644F2">
        <w:rPr>
          <w:lang w:val="bg-BG"/>
        </w:rPr>
        <w:t xml:space="preserve">т </w:t>
      </w:r>
      <w:r w:rsidRPr="00E91938">
        <w:t>образователни медиатори, които работят директно с ромските семейства и ученици, за да осигурят по-добро включване в учебния процес и подкрепа.</w:t>
      </w:r>
    </w:p>
    <w:p w:rsidR="003E4A2B" w:rsidRDefault="003E4A2B" w:rsidP="00E91938">
      <w:pPr>
        <w:spacing w:before="100" w:beforeAutospacing="1" w:after="100" w:afterAutospacing="1"/>
        <w:ind w:left="360" w:firstLine="720"/>
        <w:jc w:val="both"/>
      </w:pPr>
      <w:r w:rsidRPr="00E91938">
        <w:t>Осигуряването на стипендии и финансова подкрепа стимулира учениците да постигат по-добри резултати. Допълнителните занимания и курсове помагат на учениците да наваксат пропуските и да се подготвят по-добре за учебния процес. Програмата "Национална програма за подпомагане на ученици от етническите малцинства" води до увеличаване на броя на ромските ученици, които завършват основно и средно образование.</w:t>
      </w:r>
    </w:p>
    <w:p w:rsidR="00EF11BE" w:rsidRPr="00E91938" w:rsidRDefault="00EF11BE" w:rsidP="00E91938">
      <w:pPr>
        <w:spacing w:before="100" w:beforeAutospacing="1" w:after="100" w:afterAutospacing="1"/>
        <w:ind w:left="360" w:firstLine="720"/>
        <w:jc w:val="both"/>
      </w:pPr>
    </w:p>
    <w:p w:rsidR="00E26418" w:rsidRPr="00E91938" w:rsidRDefault="00E26418" w:rsidP="00E91938">
      <w:pPr>
        <w:pStyle w:val="NormalWeb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91938">
        <w:rPr>
          <w:b/>
          <w:bCs/>
          <w:sz w:val="28"/>
          <w:szCs w:val="28"/>
        </w:rPr>
        <w:t>Икономически ефект на програмите за интеграция на ромите: Програми на НПО и МОН</w:t>
      </w:r>
    </w:p>
    <w:p w:rsidR="00E26418" w:rsidRPr="00E91938" w:rsidRDefault="00FD3B65" w:rsidP="00E91938">
      <w:pPr>
        <w:pStyle w:val="Heading4"/>
        <w:ind w:firstLine="720"/>
        <w:jc w:val="both"/>
      </w:pPr>
      <w:r w:rsidRPr="00E91938">
        <w:rPr>
          <w:lang w:val="bg-BG"/>
        </w:rPr>
        <w:t>Н</w:t>
      </w:r>
      <w:r w:rsidR="00E26418" w:rsidRPr="00E91938">
        <w:t>еправителствени организации (НПО)</w:t>
      </w:r>
    </w:p>
    <w:p w:rsidR="00E26418" w:rsidRPr="00E91938" w:rsidRDefault="00E26418" w:rsidP="00E91938">
      <w:pPr>
        <w:ind w:firstLine="720"/>
        <w:jc w:val="both"/>
        <w:rPr>
          <w:b/>
          <w:bCs/>
          <w:u w:val="single"/>
        </w:rPr>
      </w:pPr>
      <w:r w:rsidRPr="00E91938">
        <w:rPr>
          <w:b/>
          <w:bCs/>
          <w:u w:val="single"/>
        </w:rPr>
        <w:t>Център "Амалипе"</w:t>
      </w:r>
    </w:p>
    <w:p w:rsidR="00516495" w:rsidRDefault="00FD3B65" w:rsidP="00516495">
      <w:pPr>
        <w:pStyle w:val="NormalWeb"/>
        <w:ind w:left="360" w:firstLine="360"/>
        <w:jc w:val="both"/>
        <w:rPr>
          <w:lang w:val="bg-BG"/>
        </w:rPr>
      </w:pPr>
      <w:r w:rsidRPr="00E91938">
        <w:rPr>
          <w:lang w:val="bg-BG"/>
        </w:rPr>
        <w:t xml:space="preserve">Една от организациите, които работят най-активно в посока интегрирането на ромите е </w:t>
      </w:r>
      <w:r w:rsidR="002836E1" w:rsidRPr="00E91938">
        <w:rPr>
          <w:lang w:val="bg-BG"/>
        </w:rPr>
        <w:t xml:space="preserve"> Център </w:t>
      </w:r>
      <w:r w:rsidR="00C644F2">
        <w:rPr>
          <w:lang w:val="bg-BG"/>
        </w:rPr>
        <w:t>„</w:t>
      </w:r>
      <w:proofErr w:type="spellStart"/>
      <w:r w:rsidR="002836E1" w:rsidRPr="00E91938">
        <w:rPr>
          <w:lang w:val="bg-BG"/>
        </w:rPr>
        <w:t>Амалипе</w:t>
      </w:r>
      <w:proofErr w:type="spellEnd"/>
      <w:r w:rsidR="002836E1" w:rsidRPr="00E91938">
        <w:rPr>
          <w:lang w:val="bg-BG"/>
        </w:rPr>
        <w:t>“</w:t>
      </w:r>
      <w:r w:rsidRPr="00E91938">
        <w:rPr>
          <w:lang w:val="bg-BG"/>
        </w:rPr>
        <w:t xml:space="preserve">. Те се </w:t>
      </w:r>
      <w:r w:rsidR="00E26418" w:rsidRPr="00E91938">
        <w:t>фокусира</w:t>
      </w:r>
      <w:r w:rsidRPr="00E91938">
        <w:rPr>
          <w:lang w:val="bg-BG"/>
        </w:rPr>
        <w:t>т</w:t>
      </w:r>
      <w:r w:rsidR="00E26418" w:rsidRPr="00E91938">
        <w:t xml:space="preserve"> върху намаляване на ранното отпадане от училище и подобряване на образователните резултати на ромските деца. </w:t>
      </w:r>
      <w:r w:rsidRPr="00E91938">
        <w:rPr>
          <w:lang w:val="bg-BG"/>
        </w:rPr>
        <w:t>Също така</w:t>
      </w:r>
      <w:r w:rsidR="00E26418" w:rsidRPr="00E91938">
        <w:t xml:space="preserve"> осигурява учебни материали, извънкласни занимания и обучения за учители и родители. Финансирането на </w:t>
      </w:r>
      <w:r w:rsidR="00CB06B8" w:rsidRPr="00E91938">
        <w:rPr>
          <w:lang w:val="bg-BG"/>
        </w:rPr>
        <w:t xml:space="preserve">центърът </w:t>
      </w:r>
      <w:r w:rsidR="00C644F2">
        <w:rPr>
          <w:lang w:val="bg-BG"/>
        </w:rPr>
        <w:t>идва</w:t>
      </w:r>
      <w:r w:rsidR="00CB06B8" w:rsidRPr="00E91938">
        <w:rPr>
          <w:lang w:val="bg-BG"/>
        </w:rPr>
        <w:t xml:space="preserve"> от различни канали. Докато организацията получава финансова помощ от Министерството на </w:t>
      </w:r>
      <w:r w:rsidR="00C644F2">
        <w:rPr>
          <w:lang w:val="bg-BG"/>
        </w:rPr>
        <w:t>о</w:t>
      </w:r>
      <w:r w:rsidR="00CB06B8" w:rsidRPr="00E91938">
        <w:rPr>
          <w:lang w:val="bg-BG"/>
        </w:rPr>
        <w:t xml:space="preserve">бразованието, тези средства представляват едва 0.99% от цялостния им бюджет. Най-големия им източник на приходи са проектите финансирани от </w:t>
      </w:r>
      <w:r w:rsidR="00D12159">
        <w:rPr>
          <w:lang w:val="bg-BG"/>
        </w:rPr>
        <w:t>други организации</w:t>
      </w:r>
      <w:r w:rsidR="00CB06B8" w:rsidRPr="00E91938">
        <w:rPr>
          <w:lang w:val="bg-BG"/>
        </w:rPr>
        <w:t>-цели 2</w:t>
      </w:r>
      <w:r w:rsidR="00D12159">
        <w:rPr>
          <w:lang w:val="bg-BG"/>
        </w:rPr>
        <w:t>9</w:t>
      </w:r>
      <w:r w:rsidR="00CB06B8" w:rsidRPr="00E91938">
        <w:rPr>
          <w:lang w:val="bg-BG"/>
        </w:rPr>
        <w:t xml:space="preserve">%. </w:t>
      </w:r>
    </w:p>
    <w:p w:rsidR="002B07A5" w:rsidRDefault="00516495" w:rsidP="00516495">
      <w:pPr>
        <w:pStyle w:val="NormalWeb"/>
        <w:jc w:val="center"/>
        <w:rPr>
          <w:lang w:val="bg-BG"/>
        </w:rPr>
      </w:pPr>
      <w:r>
        <w:rPr>
          <w:noProof/>
          <w:lang w:val="bg-BG"/>
        </w:rPr>
        <w:lastRenderedPageBreak/>
        <w:drawing>
          <wp:inline distT="0" distB="0" distL="0" distR="0">
            <wp:extent cx="5486400" cy="32004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07A5" w:rsidRPr="00E91938" w:rsidRDefault="002B07A5" w:rsidP="00E91938">
      <w:pPr>
        <w:pStyle w:val="NormalWeb"/>
        <w:ind w:left="360" w:firstLine="360"/>
        <w:jc w:val="both"/>
        <w:rPr>
          <w:lang w:val="bg-BG"/>
        </w:rPr>
      </w:pPr>
    </w:p>
    <w:p w:rsidR="00AE1966" w:rsidRPr="00C644F2" w:rsidRDefault="00AE1966" w:rsidP="00E91938">
      <w:pPr>
        <w:ind w:left="360" w:firstLine="360"/>
        <w:jc w:val="both"/>
        <w:rPr>
          <w:lang w:val="bg-BG"/>
        </w:rPr>
      </w:pPr>
      <w:r w:rsidRPr="00E91938">
        <w:t>Един от проектите върху който работи Амалипе е „Всеки ученик ще бъде отличник” подкрепена от Тръст за социална алтернатива (ТСА). Основните дейности са насочени към превенция на отпадането и задържане на ромските деца в училище, увеличаване на броя на реинтегрираните (записаните отново в училище) деца</w:t>
      </w:r>
      <w:r w:rsidRPr="00E91938">
        <w:rPr>
          <w:lang w:val="bg-BG"/>
        </w:rPr>
        <w:t xml:space="preserve"> и </w:t>
      </w:r>
      <w:r w:rsidRPr="00E91938">
        <w:t>увеличаване на броя на възрастните роми, включени във форми на учене през целия живот</w:t>
      </w:r>
      <w:r w:rsidR="00C644F2">
        <w:rPr>
          <w:lang w:val="bg-BG"/>
        </w:rPr>
        <w:t>.</w:t>
      </w:r>
    </w:p>
    <w:p w:rsidR="00CB06B8" w:rsidRPr="00E91938" w:rsidRDefault="00CB06B8" w:rsidP="00E91938">
      <w:pPr>
        <w:pStyle w:val="NormalWeb"/>
        <w:ind w:left="360" w:firstLine="360"/>
        <w:jc w:val="both"/>
        <w:rPr>
          <w:lang w:val="bg-BG"/>
        </w:rPr>
      </w:pPr>
      <w:r w:rsidRPr="00E91938">
        <w:rPr>
          <w:lang w:val="bg-BG"/>
        </w:rPr>
        <w:t>,,</w:t>
      </w:r>
      <w:proofErr w:type="spellStart"/>
      <w:r w:rsidRPr="00E91938">
        <w:rPr>
          <w:lang w:val="bg-BG"/>
        </w:rPr>
        <w:t>Амалипе</w:t>
      </w:r>
      <w:proofErr w:type="spellEnd"/>
      <w:r w:rsidRPr="00E91938">
        <w:rPr>
          <w:lang w:val="bg-BG"/>
        </w:rPr>
        <w:t>“ са постигнали значителни резултати от работа с 200 училища и 1500 младежи застрашени от отпадане през 2020г. до 297 училища през 2023г., 56 455 обхванати ученици, 900 върнати в училище, почти 4хлд. обучени учители и много други.</w:t>
      </w:r>
    </w:p>
    <w:p w:rsidR="0080297E" w:rsidRPr="00E91938" w:rsidRDefault="00E26418" w:rsidP="00E91938">
      <w:pPr>
        <w:pStyle w:val="NormalWeb"/>
        <w:ind w:left="360" w:firstLine="360"/>
        <w:jc w:val="both"/>
        <w:rPr>
          <w:lang w:val="bg-BG"/>
        </w:rPr>
      </w:pPr>
      <w:r w:rsidRPr="00E91938">
        <w:t>Положителните резултати от програмата включват намаляване на отсъствията и отпадането с до 30% в определени училища. Увеличаването на участието на родителите в образователния процес също води до по-добри резултати на учениците. В икономически план, успешната реализация на програмата води до по-добра образователна подготовка на ромските деца, което увеличава шансовете им за бъдеща заетост</w:t>
      </w:r>
      <w:r w:rsidR="00CB06B8" w:rsidRPr="00E91938">
        <w:rPr>
          <w:lang w:val="bg-BG"/>
        </w:rPr>
        <w:t>.</w:t>
      </w:r>
    </w:p>
    <w:p w:rsidR="00820E99" w:rsidRDefault="00820E99" w:rsidP="00E91938">
      <w:pPr>
        <w:ind w:firstLine="720"/>
        <w:jc w:val="both"/>
        <w:rPr>
          <w:b/>
          <w:bCs/>
          <w:u w:val="single"/>
          <w:lang w:val="bg-BG"/>
        </w:rPr>
      </w:pPr>
      <w:r w:rsidRPr="00E91938">
        <w:rPr>
          <w:b/>
          <w:bCs/>
          <w:u w:val="single"/>
          <w:lang w:val="bg-BG"/>
        </w:rPr>
        <w:t xml:space="preserve">Асоциация </w:t>
      </w:r>
      <w:proofErr w:type="spellStart"/>
      <w:r w:rsidRPr="00E91938">
        <w:rPr>
          <w:b/>
          <w:bCs/>
          <w:u w:val="single"/>
          <w:lang w:val="bg-BG"/>
        </w:rPr>
        <w:t>Интегро</w:t>
      </w:r>
      <w:proofErr w:type="spellEnd"/>
    </w:p>
    <w:p w:rsidR="006A4701" w:rsidRPr="00E91938" w:rsidRDefault="006A4701" w:rsidP="00E91938">
      <w:pPr>
        <w:ind w:firstLine="720"/>
        <w:jc w:val="both"/>
        <w:rPr>
          <w:b/>
          <w:bCs/>
          <w:u w:val="single"/>
          <w:lang w:val="bg-BG"/>
        </w:rPr>
      </w:pPr>
    </w:p>
    <w:p w:rsidR="00084A76" w:rsidRPr="00E91938" w:rsidRDefault="00084A76" w:rsidP="00E91938">
      <w:pPr>
        <w:ind w:firstLine="720"/>
        <w:jc w:val="both"/>
        <w:rPr>
          <w:lang w:val="bg-BG"/>
        </w:rPr>
      </w:pPr>
      <w:proofErr w:type="spellStart"/>
      <w:r w:rsidRPr="00E91938">
        <w:rPr>
          <w:lang w:val="en-US"/>
        </w:rPr>
        <w:t>Integro</w:t>
      </w:r>
      <w:proofErr w:type="spellEnd"/>
      <w:r w:rsidRPr="00E91938">
        <w:rPr>
          <w:lang w:val="en-US"/>
        </w:rPr>
        <w:t xml:space="preserve"> Association e </w:t>
      </w:r>
      <w:r w:rsidRPr="00E91938">
        <w:rPr>
          <w:lang w:val="bg-BG"/>
        </w:rPr>
        <w:t xml:space="preserve">сдружение, което има за цел да подкрепя ромските общности чрез подобряване на обществено икономическото им положение, социална интеграция и преодоляване на дискриминацията към ромския етнос. </w:t>
      </w:r>
    </w:p>
    <w:p w:rsidR="00516495" w:rsidRDefault="00F90A0E" w:rsidP="00652113">
      <w:pPr>
        <w:ind w:firstLine="720"/>
        <w:jc w:val="both"/>
        <w:rPr>
          <w:lang w:val="bg-BG"/>
        </w:rPr>
      </w:pPr>
      <w:r w:rsidRPr="00E91938">
        <w:rPr>
          <w:lang w:val="bg-BG"/>
        </w:rPr>
        <w:t>Работата на организацията е възможна благодарение на техните партньори и донори:  програмата ,,</w:t>
      </w:r>
      <w:r w:rsidRPr="00E91938">
        <w:rPr>
          <w:lang w:val="en-US"/>
        </w:rPr>
        <w:t>ROMACT”</w:t>
      </w:r>
      <w:r w:rsidRPr="00E91938">
        <w:rPr>
          <w:lang w:val="bg-BG"/>
        </w:rPr>
        <w:t xml:space="preserve">, </w:t>
      </w:r>
      <w:r w:rsidRPr="00E91938">
        <w:rPr>
          <w:lang w:val="en-US"/>
        </w:rPr>
        <w:t xml:space="preserve">The Bulgarian-American Society </w:t>
      </w:r>
      <w:r w:rsidRPr="00E91938">
        <w:rPr>
          <w:lang w:val="bg-BG"/>
        </w:rPr>
        <w:t xml:space="preserve">и Тръст за социална алтернатива. </w:t>
      </w:r>
    </w:p>
    <w:p w:rsidR="006A4701" w:rsidRPr="006A4701" w:rsidRDefault="006A4701" w:rsidP="00E91938">
      <w:pPr>
        <w:ind w:firstLine="720"/>
        <w:jc w:val="both"/>
        <w:rPr>
          <w:lang w:val="bg-BG"/>
        </w:rPr>
      </w:pPr>
    </w:p>
    <w:p w:rsidR="006A4701" w:rsidRDefault="006A4701" w:rsidP="00E91938">
      <w:pPr>
        <w:ind w:firstLine="720"/>
        <w:jc w:val="both"/>
        <w:rPr>
          <w:b/>
          <w:bCs/>
          <w:u w:val="single"/>
          <w:lang w:val="bg-BG"/>
        </w:rPr>
      </w:pPr>
      <w:r w:rsidRPr="006A4701">
        <w:rPr>
          <w:b/>
          <w:bCs/>
          <w:u w:val="single"/>
          <w:lang w:val="bg-BG"/>
        </w:rPr>
        <w:t>Сдружение Лидер</w:t>
      </w:r>
    </w:p>
    <w:p w:rsidR="006A4701" w:rsidRDefault="006A4701" w:rsidP="00E91938">
      <w:pPr>
        <w:ind w:firstLine="720"/>
        <w:jc w:val="both"/>
        <w:rPr>
          <w:b/>
          <w:bCs/>
          <w:u w:val="single"/>
          <w:lang w:val="bg-BG"/>
        </w:rPr>
      </w:pPr>
    </w:p>
    <w:p w:rsidR="006A4701" w:rsidRDefault="006A4701" w:rsidP="00421DC5">
      <w:pPr>
        <w:pStyle w:val="NormalWeb"/>
        <w:ind w:firstLine="720"/>
        <w:jc w:val="both"/>
      </w:pPr>
      <w:r>
        <w:t>Една от организациите, които работят активно за развитието на младежите в България, е Сдружение „Лидер“. Те се фокусират върху предоставянето на качествено образование и кариерно развитие за млади хора от различни социални групи, включително ромската общност. Организацията цели да насърчи социалната интеграция и професионалната реализация на младежите чрез разнообразни програми и проекти, като използва иновативни подходи и модерни технологии.</w:t>
      </w:r>
    </w:p>
    <w:p w:rsidR="006A4701" w:rsidRDefault="006A4701" w:rsidP="00421DC5">
      <w:pPr>
        <w:pStyle w:val="NormalWeb"/>
        <w:ind w:firstLine="720"/>
        <w:jc w:val="both"/>
      </w:pPr>
      <w:r>
        <w:t>Основната част от финансирането на Сдружение „Лидер“ идва от различни национални и международни програми, фондации и партньорства. Сред най-значимите източници на финансиране са проектите, реализирани съвместно с европейски фондове и местни институции.</w:t>
      </w:r>
    </w:p>
    <w:p w:rsidR="006A4701" w:rsidRPr="00731A32" w:rsidRDefault="006A4701" w:rsidP="00421DC5">
      <w:pPr>
        <w:ind w:firstLine="720"/>
        <w:jc w:val="both"/>
        <w:rPr>
          <w:lang w:val="bg-BG"/>
        </w:rPr>
      </w:pPr>
      <w:r>
        <w:t xml:space="preserve">Един от ключовите проекти на организацията </w:t>
      </w:r>
      <w:r w:rsidR="00423D35">
        <w:rPr>
          <w:lang w:val="bg-BG"/>
        </w:rPr>
        <w:t xml:space="preserve">цели да </w:t>
      </w:r>
      <w:r>
        <w:t>повиш</w:t>
      </w:r>
      <w:r w:rsidR="00423D35">
        <w:rPr>
          <w:lang w:val="bg-BG"/>
        </w:rPr>
        <w:t xml:space="preserve">и лидерските умения на ромските младежи, които да започнат да поемат отговорност в собствените си общности и да стимулират съгражданите си да бъдат по-активни. </w:t>
      </w:r>
      <w:r w:rsidR="00731A32">
        <w:rPr>
          <w:lang w:val="bg-BG"/>
        </w:rPr>
        <w:t xml:space="preserve">Другата  основна цел на организацията е </w:t>
      </w:r>
      <w:r w:rsidR="00731A32" w:rsidRPr="00731A32">
        <w:t>да увеличи предприемачеството и достъпа до заетост и икономическо</w:t>
      </w:r>
      <w:r w:rsidR="00731A32">
        <w:rPr>
          <w:lang w:val="bg-BG"/>
        </w:rPr>
        <w:t xml:space="preserve"> </w:t>
      </w:r>
      <w:r w:rsidR="00731A32" w:rsidRPr="00731A32">
        <w:t>развитие сред ромската общност</w:t>
      </w:r>
      <w:r w:rsidR="00731A32">
        <w:rPr>
          <w:lang w:val="bg-BG"/>
        </w:rPr>
        <w:t>.</w:t>
      </w:r>
    </w:p>
    <w:p w:rsidR="006A4701" w:rsidRDefault="006A4701" w:rsidP="00421DC5">
      <w:pPr>
        <w:pStyle w:val="NormalWeb"/>
        <w:ind w:firstLine="720"/>
        <w:jc w:val="both"/>
      </w:pPr>
      <w:r>
        <w:t>Сдружение „Лидер“ също така активно си сътрудничи с местни общности и институции за създаване на устойчива среда за развитие на младите хора. Техните инициативи водят до значителни резултати, включително по-добра интеграция на младите хора в обществото и повишаване на тяхната конкурентоспособност на пазара на труда.</w:t>
      </w:r>
    </w:p>
    <w:p w:rsidR="006A4701" w:rsidRPr="006A4701" w:rsidRDefault="006A4701" w:rsidP="00E91938">
      <w:pPr>
        <w:ind w:firstLine="720"/>
        <w:jc w:val="both"/>
        <w:rPr>
          <w:lang w:val="bg-BG"/>
        </w:rPr>
      </w:pPr>
    </w:p>
    <w:p w:rsidR="0080297E" w:rsidRPr="00E91938" w:rsidRDefault="0080297E" w:rsidP="00E91938">
      <w:pPr>
        <w:pStyle w:val="Heading4"/>
        <w:jc w:val="both"/>
      </w:pPr>
      <w:r w:rsidRPr="00E91938">
        <w:t>Програми на Министерството на образованието и науката (МОН)</w:t>
      </w:r>
    </w:p>
    <w:p w:rsidR="0080297E" w:rsidRPr="00E91938" w:rsidRDefault="0080297E" w:rsidP="00E91938">
      <w:pPr>
        <w:jc w:val="both"/>
        <w:rPr>
          <w:b/>
          <w:bCs/>
          <w:u w:val="single"/>
        </w:rPr>
      </w:pPr>
      <w:r w:rsidRPr="00E91938">
        <w:rPr>
          <w:b/>
          <w:bCs/>
          <w:u w:val="single"/>
        </w:rPr>
        <w:t>"Подкрепа за предучилищно образование на деца в неравностойно положение"</w:t>
      </w:r>
    </w:p>
    <w:p w:rsidR="0080297E" w:rsidRPr="00E91938" w:rsidRDefault="0080297E" w:rsidP="00E91938">
      <w:pPr>
        <w:pStyle w:val="NormalWeb"/>
        <w:ind w:firstLine="720"/>
        <w:jc w:val="both"/>
        <w:rPr>
          <w:lang w:val="bg-BG"/>
        </w:rPr>
      </w:pPr>
      <w:r w:rsidRPr="00E91938">
        <w:t xml:space="preserve">Тази програма осигурява безплатни учебни материали и храна, както и обучение на учители за работа в мултикултурна среда. </w:t>
      </w:r>
      <w:r w:rsidR="008509EE" w:rsidRPr="00E91938">
        <w:rPr>
          <w:lang w:val="bg-BG"/>
        </w:rPr>
        <w:t>Публичен достъп до точната сума на ф</w:t>
      </w:r>
      <w:r w:rsidRPr="00E91938">
        <w:t>инансирането</w:t>
      </w:r>
      <w:r w:rsidR="008509EE" w:rsidRPr="00E91938">
        <w:rPr>
          <w:lang w:val="bg-BG"/>
        </w:rPr>
        <w:t xml:space="preserve"> няма, но</w:t>
      </w:r>
      <w:r w:rsidRPr="00E91938">
        <w:t xml:space="preserve"> </w:t>
      </w:r>
      <w:r w:rsidR="008509EE" w:rsidRPr="00E91938">
        <w:rPr>
          <w:lang w:val="bg-BG"/>
        </w:rPr>
        <w:t>поради закупуването на множество материали може да се предполага, че е доста високо.</w:t>
      </w:r>
    </w:p>
    <w:p w:rsidR="0080297E" w:rsidRPr="00E91938" w:rsidRDefault="0080297E" w:rsidP="00E91938">
      <w:pPr>
        <w:pStyle w:val="NormalWeb"/>
        <w:ind w:firstLine="720"/>
        <w:jc w:val="both"/>
      </w:pPr>
      <w:r w:rsidRPr="00E91938">
        <w:t>Програмата води до значително повишаване на посещаемостта и успеха на ромските деца в училище. Икономическите ползи включват увеличаване на образователното ниво и намаляване на разходите за социална подкрепа в бъдеще.</w:t>
      </w:r>
    </w:p>
    <w:p w:rsidR="0080297E" w:rsidRPr="00E91938" w:rsidRDefault="0080297E" w:rsidP="00E91938">
      <w:pPr>
        <w:jc w:val="both"/>
        <w:rPr>
          <w:b/>
          <w:bCs/>
          <w:u w:val="single"/>
        </w:rPr>
      </w:pPr>
      <w:r w:rsidRPr="00E91938">
        <w:rPr>
          <w:b/>
          <w:bCs/>
          <w:u w:val="single"/>
        </w:rPr>
        <w:t>"Образование за всички"</w:t>
      </w:r>
    </w:p>
    <w:p w:rsidR="0080297E" w:rsidRPr="00E91938" w:rsidRDefault="0080297E" w:rsidP="00E91938">
      <w:pPr>
        <w:pStyle w:val="NormalWeb"/>
        <w:ind w:firstLine="720"/>
        <w:jc w:val="both"/>
        <w:rPr>
          <w:lang w:val="en-US"/>
        </w:rPr>
      </w:pPr>
      <w:r w:rsidRPr="00E91938">
        <w:t xml:space="preserve">Програмата включва обучение на учители, осигуряване на учебни материали и инициативи за включване на родителите. </w:t>
      </w:r>
    </w:p>
    <w:p w:rsidR="0080297E" w:rsidRPr="00E91938" w:rsidRDefault="0080297E" w:rsidP="00E91938">
      <w:pPr>
        <w:pStyle w:val="NormalWeb"/>
        <w:ind w:firstLine="720"/>
        <w:jc w:val="both"/>
      </w:pPr>
      <w:r w:rsidRPr="00E91938">
        <w:t>Програмата допринася за подобряване на качеството на образованието и увеличаване на шансовете за успешна интеграция на ромските деца в обществото. Икономическите ползи включват намаляване на безработицата сред ромите и увеличаване на продуктивността на работната сила.</w:t>
      </w:r>
    </w:p>
    <w:p w:rsidR="0080297E" w:rsidRPr="00E91938" w:rsidRDefault="0080297E" w:rsidP="00E91938">
      <w:pPr>
        <w:jc w:val="both"/>
        <w:rPr>
          <w:b/>
          <w:bCs/>
          <w:u w:val="single"/>
        </w:rPr>
      </w:pPr>
      <w:r w:rsidRPr="00E91938">
        <w:rPr>
          <w:b/>
          <w:bCs/>
          <w:u w:val="single"/>
        </w:rPr>
        <w:lastRenderedPageBreak/>
        <w:t>"Национална програма за подпомагане на ученици от етническите малцинства"</w:t>
      </w:r>
    </w:p>
    <w:p w:rsidR="0080297E" w:rsidRPr="00E91938" w:rsidRDefault="0080297E" w:rsidP="00E91938">
      <w:pPr>
        <w:pStyle w:val="NormalWeb"/>
        <w:ind w:firstLine="720"/>
        <w:jc w:val="both"/>
      </w:pPr>
      <w:r w:rsidRPr="00E91938">
        <w:t xml:space="preserve">Програмата осигурява стипендии и финансова подкрепа за ромските ученици. </w:t>
      </w:r>
    </w:p>
    <w:p w:rsidR="00E668EF" w:rsidRPr="00E91938" w:rsidRDefault="00787BDC" w:rsidP="00F275EA">
      <w:pPr>
        <w:pStyle w:val="NormalWeb"/>
        <w:ind w:firstLine="720"/>
        <w:jc w:val="both"/>
      </w:pPr>
      <w:r>
        <w:rPr>
          <w:lang w:val="bg-BG"/>
        </w:rPr>
        <w:t>Тя цели да</w:t>
      </w:r>
      <w:r w:rsidR="0080297E" w:rsidRPr="00E91938">
        <w:t xml:space="preserve"> стимулира учениците да постигат по-добри резултати и намалява ранното отпадане от училище. Икономическите ползи включват увеличаване на броя на завършилите ученици и тяхната бъдеща заетост.</w:t>
      </w:r>
    </w:p>
    <w:p w:rsidR="0080297E" w:rsidRPr="00E91938" w:rsidRDefault="0080297E" w:rsidP="00E91938">
      <w:pPr>
        <w:jc w:val="both"/>
        <w:rPr>
          <w:b/>
          <w:bCs/>
          <w:u w:val="single"/>
        </w:rPr>
      </w:pPr>
      <w:r w:rsidRPr="00E91938">
        <w:rPr>
          <w:b/>
          <w:bCs/>
          <w:u w:val="single"/>
        </w:rPr>
        <w:t>"Образователни медиатори"</w:t>
      </w:r>
    </w:p>
    <w:p w:rsidR="0080297E" w:rsidRPr="00E91938" w:rsidRDefault="0080297E" w:rsidP="00E91938">
      <w:pPr>
        <w:pStyle w:val="NormalWeb"/>
        <w:ind w:firstLine="720"/>
        <w:jc w:val="both"/>
      </w:pPr>
      <w:r w:rsidRPr="00E91938">
        <w:t>Програмата включва назначаване на медиатори, които работят директно с ромските семейства и ученици.</w:t>
      </w:r>
    </w:p>
    <w:p w:rsidR="0080297E" w:rsidRPr="00E91938" w:rsidRDefault="0080297E" w:rsidP="00E91938">
      <w:pPr>
        <w:pStyle w:val="NormalWeb"/>
        <w:ind w:firstLine="720"/>
        <w:jc w:val="both"/>
      </w:pPr>
      <w:r w:rsidRPr="00E91938">
        <w:t>Медиаторите помагат за по-доброто включване на ромските деца в учебния процес и увеличават успеха им в училище. Икономическите ползи включват намаляване на социалните разходи и увеличаване на образователното ниво на ромските деца.</w:t>
      </w:r>
    </w:p>
    <w:p w:rsidR="0080297E" w:rsidRPr="00E91938" w:rsidRDefault="0080297E" w:rsidP="00E91938">
      <w:pPr>
        <w:pStyle w:val="NormalWeb"/>
        <w:ind w:firstLine="720"/>
        <w:jc w:val="both"/>
      </w:pPr>
      <w:r w:rsidRPr="00E91938">
        <w:t>Икономическите ефекти от програмите за интеграция на ромите, реализирани от НПО и МОН, са значителни. Те включват намаляване на социалните разходи, увеличаване на продуктивността на работната сила и подобряване на качеството на образованието. Инвестициите в образователни програми и инициативи за социална интеграция водят до дългосрочни ползи както за ромската общност, така и за обществото като цяло. Успешната интеграция на ромите е ключова за икономическото развитие на България и намаляване на социалните различия.</w:t>
      </w:r>
    </w:p>
    <w:p w:rsidR="00CF47AD" w:rsidRPr="00E91938" w:rsidRDefault="008F5DA3" w:rsidP="0074475B">
      <w:pPr>
        <w:spacing w:before="100" w:beforeAutospacing="1" w:after="100" w:afterAutospacing="1"/>
        <w:ind w:firstLine="720"/>
        <w:jc w:val="both"/>
      </w:pPr>
      <w:r w:rsidRPr="00E91938">
        <w:t>Докато много от програмите, реализирани от МОН, показват положителни резултати, има и такива, които се оказват по-малко ефективни и не оправдават инвестираните в тях средства. Тези програми често се отличават с високи разходи, но слаби резултати по отношение на образователната и социалната интеграция на ромските деца. Ето някои от тях:</w:t>
      </w:r>
    </w:p>
    <w:p w:rsidR="008F5DA3" w:rsidRPr="00E91938" w:rsidRDefault="008F5DA3" w:rsidP="00E91938">
      <w:pPr>
        <w:spacing w:before="100" w:beforeAutospacing="1" w:after="100" w:afterAutospacing="1"/>
        <w:jc w:val="both"/>
        <w:outlineLvl w:val="3"/>
        <w:rPr>
          <w:b/>
          <w:bCs/>
        </w:rPr>
      </w:pPr>
      <w:r w:rsidRPr="00E91938">
        <w:rPr>
          <w:b/>
          <w:bCs/>
        </w:rPr>
        <w:t>"Дигитално образование за всички"</w:t>
      </w:r>
    </w:p>
    <w:p w:rsidR="00786B33" w:rsidRPr="00E91938" w:rsidRDefault="008F5DA3" w:rsidP="0074475B">
      <w:pPr>
        <w:spacing w:before="100" w:beforeAutospacing="1" w:after="100" w:afterAutospacing="1"/>
        <w:ind w:firstLine="720"/>
        <w:jc w:val="both"/>
      </w:pPr>
      <w:r w:rsidRPr="00E91938">
        <w:t xml:space="preserve">Тази програма е насочена към осигуряване на дигитални устройства и интернет свързаност за учениците от малцинствените групи, включително ромите. </w:t>
      </w:r>
    </w:p>
    <w:p w:rsidR="008F5DA3" w:rsidRPr="00E91938" w:rsidRDefault="008F5DA3" w:rsidP="0074475B">
      <w:pPr>
        <w:spacing w:before="100" w:beforeAutospacing="1" w:after="100" w:afterAutospacing="1"/>
        <w:ind w:firstLine="720"/>
        <w:jc w:val="both"/>
      </w:pPr>
      <w:r w:rsidRPr="00E91938">
        <w:t>Програмата има за цел да подобри достъпа до образователни ресурси и да стимулира дигиталната грамотност сред ромските ученици.</w:t>
      </w:r>
    </w:p>
    <w:p w:rsidR="008F5DA3" w:rsidRPr="00E91938" w:rsidRDefault="008F5DA3" w:rsidP="0074475B">
      <w:pPr>
        <w:spacing w:before="100" w:beforeAutospacing="1" w:after="100" w:afterAutospacing="1"/>
        <w:ind w:firstLine="720"/>
        <w:jc w:val="both"/>
      </w:pPr>
      <w:r w:rsidRPr="00E91938">
        <w:t>Въпреки значителните инвестиции, резултатите от програмата са разочароващи. Много от предоставените устройства не се използват ефективно, поради липса на адекватно обучение на учениците и техните родители. Освен това, интернет свързаността в много ромски квартали остава проблематична, което ограничава достъпа до онлайн ресурси.</w:t>
      </w:r>
    </w:p>
    <w:p w:rsidR="008F5DA3" w:rsidRPr="00E91938" w:rsidRDefault="008F5DA3" w:rsidP="00E91938">
      <w:pPr>
        <w:spacing w:before="100" w:beforeAutospacing="1" w:after="100" w:afterAutospacing="1"/>
        <w:jc w:val="both"/>
      </w:pPr>
      <w:r w:rsidRPr="00E91938">
        <w:rPr>
          <w:b/>
          <w:bCs/>
        </w:rPr>
        <w:t>Причини за неефективност:</w:t>
      </w:r>
    </w:p>
    <w:p w:rsidR="008F5DA3" w:rsidRPr="00E91938" w:rsidRDefault="008F5DA3" w:rsidP="00E9193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91938">
        <w:t>Липса на последователно обучение и подкрепа за учениците и родителите.</w:t>
      </w:r>
    </w:p>
    <w:p w:rsidR="008F5DA3" w:rsidRPr="00E91938" w:rsidRDefault="008F5DA3" w:rsidP="00E9193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91938">
        <w:t>Недостатъчна инфраструктура и проблеми със свързаността в ромските общности.</w:t>
      </w:r>
    </w:p>
    <w:p w:rsidR="008F5DA3" w:rsidRPr="00E91938" w:rsidRDefault="008F5DA3" w:rsidP="00E9193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91938">
        <w:lastRenderedPageBreak/>
        <w:t>Слабо участие на местните власти и общности в изпълнението на програмата.</w:t>
      </w:r>
    </w:p>
    <w:p w:rsidR="008F5DA3" w:rsidRPr="00E91938" w:rsidRDefault="008F5DA3" w:rsidP="0074475B">
      <w:pPr>
        <w:spacing w:before="100" w:beforeAutospacing="1" w:after="100" w:afterAutospacing="1"/>
        <w:ind w:firstLine="360"/>
        <w:jc w:val="both"/>
      </w:pPr>
      <w:r w:rsidRPr="00E91938">
        <w:t>Програмата не постига значителен положителен икономически ефект поради ниското ниво на използване на предоставените ресурси и липсата на реален напредък в дигиталната грамотност на ромските деца.</w:t>
      </w:r>
    </w:p>
    <w:p w:rsidR="008F5DA3" w:rsidRPr="00E91938" w:rsidRDefault="008F5DA3" w:rsidP="00E91938">
      <w:pPr>
        <w:spacing w:before="100" w:beforeAutospacing="1" w:after="100" w:afterAutospacing="1"/>
        <w:jc w:val="both"/>
        <w:outlineLvl w:val="3"/>
        <w:rPr>
          <w:b/>
          <w:bCs/>
        </w:rPr>
      </w:pPr>
      <w:r w:rsidRPr="00E91938">
        <w:rPr>
          <w:b/>
          <w:bCs/>
        </w:rPr>
        <w:t>"Инклузивно образование за всички"</w:t>
      </w:r>
    </w:p>
    <w:p w:rsidR="008F5DA3" w:rsidRPr="00E91938" w:rsidRDefault="008F5DA3" w:rsidP="0074475B">
      <w:pPr>
        <w:spacing w:before="100" w:beforeAutospacing="1" w:after="100" w:afterAutospacing="1"/>
        <w:ind w:firstLine="720"/>
        <w:jc w:val="both"/>
      </w:pPr>
      <w:r w:rsidRPr="00E91938">
        <w:t>"Инклузивно образование за всички" е насочена към интеграцията на ученици с увреждания и специални образователни потребности, включително и ромски деца.</w:t>
      </w:r>
    </w:p>
    <w:p w:rsidR="008F5DA3" w:rsidRPr="00E91938" w:rsidRDefault="008F5DA3" w:rsidP="0074475B">
      <w:pPr>
        <w:spacing w:before="100" w:beforeAutospacing="1" w:after="100" w:afterAutospacing="1"/>
        <w:ind w:firstLine="720"/>
        <w:jc w:val="both"/>
      </w:pPr>
      <w:r w:rsidRPr="00E91938">
        <w:t>Целта на програмата е да осигури равен достъп до образование чрез осигуряване на допълнителни ресурси и специализирана подкрепа за учениците със специални образователни потребности.</w:t>
      </w:r>
    </w:p>
    <w:p w:rsidR="008F5DA3" w:rsidRPr="00E91938" w:rsidRDefault="008F5DA3" w:rsidP="0074475B">
      <w:pPr>
        <w:spacing w:before="100" w:beforeAutospacing="1" w:after="100" w:afterAutospacing="1"/>
        <w:ind w:firstLine="720"/>
        <w:jc w:val="both"/>
      </w:pPr>
      <w:r w:rsidRPr="00E91938">
        <w:t>Въпреки добрите намерения, програмата не успява да постигне значителни резултати. Основните проблеми включват недостиг на квалифициран персонал и липса на достатъчна подкрепа за учителите и родителите.</w:t>
      </w:r>
    </w:p>
    <w:p w:rsidR="008F5DA3" w:rsidRPr="00E91938" w:rsidRDefault="008F5DA3" w:rsidP="00E91938">
      <w:pPr>
        <w:spacing w:before="100" w:beforeAutospacing="1" w:after="100" w:afterAutospacing="1"/>
        <w:jc w:val="both"/>
      </w:pPr>
      <w:r w:rsidRPr="00E91938">
        <w:rPr>
          <w:b/>
          <w:bCs/>
        </w:rPr>
        <w:t>Причини за неефективност:</w:t>
      </w:r>
    </w:p>
    <w:p w:rsidR="008F5DA3" w:rsidRPr="00E91938" w:rsidRDefault="008F5DA3" w:rsidP="00E9193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91938">
        <w:t>Недостиг на обучени специалисти и педагози, които да работят с деца със специални образователни потребности.</w:t>
      </w:r>
    </w:p>
    <w:p w:rsidR="008F5DA3" w:rsidRPr="00E91938" w:rsidRDefault="008F5DA3" w:rsidP="00E9193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91938">
        <w:t>Липса на достатъчно финансиране за осигуряване на необходимите ресурси и поддръжка.</w:t>
      </w:r>
    </w:p>
    <w:p w:rsidR="008F5DA3" w:rsidRPr="00E91938" w:rsidRDefault="008F5DA3" w:rsidP="00E9193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91938">
        <w:t>Ниско ниво на координация и сътрудничество между различните институции и организации.</w:t>
      </w:r>
    </w:p>
    <w:p w:rsidR="008F5DA3" w:rsidRPr="00E91938" w:rsidRDefault="00724DF5" w:rsidP="0074475B">
      <w:pPr>
        <w:spacing w:before="100" w:beforeAutospacing="1" w:after="100" w:afterAutospacing="1"/>
        <w:ind w:left="720" w:firstLine="360"/>
        <w:jc w:val="both"/>
      </w:pPr>
      <w:r w:rsidRPr="00E91938">
        <w:rPr>
          <w:lang w:val="bg-BG"/>
        </w:rPr>
        <w:t>Програмата</w:t>
      </w:r>
      <w:r w:rsidR="008F5DA3" w:rsidRPr="00E91938">
        <w:t xml:space="preserve"> не постига значително подобрение в образователните резултати и социалната интеграция на ромските деца със специални потребности.</w:t>
      </w:r>
    </w:p>
    <w:p w:rsidR="0080297E" w:rsidRPr="00E91938" w:rsidRDefault="0036754B" w:rsidP="00E91938">
      <w:pPr>
        <w:pStyle w:val="NormalWeb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91938">
        <w:rPr>
          <w:b/>
          <w:bCs/>
          <w:sz w:val="28"/>
          <w:szCs w:val="28"/>
          <w:lang w:val="bg-BG"/>
        </w:rPr>
        <w:t>Сравнение</w:t>
      </w:r>
    </w:p>
    <w:p w:rsidR="00B50337" w:rsidRPr="00E91938" w:rsidRDefault="00B50337" w:rsidP="0074475B">
      <w:pPr>
        <w:pStyle w:val="NormalWeb"/>
        <w:ind w:left="720" w:firstLine="720"/>
        <w:jc w:val="both"/>
      </w:pPr>
      <w:r w:rsidRPr="00E91938">
        <w:t>Интеграцията на ромското население е ключов фактор за социално-икономическото развитие на България. Програмите, осъществявани както от неправителствени организации (НПО), така и от Министерството на образованието и науката (МОН), имат за цел да подобрят образованието, здравеопазването и социалната интеграция на ромите. Този анализ разглежда ефективността и икономическите ефекти на тези програми, фокусирайки се върху разходите, резултатите и дългосрочните ползи.</w:t>
      </w:r>
    </w:p>
    <w:p w:rsidR="00B50337" w:rsidRPr="00E91938" w:rsidRDefault="00B50337" w:rsidP="00E91938">
      <w:pPr>
        <w:pStyle w:val="Heading4"/>
        <w:ind w:left="720"/>
        <w:jc w:val="both"/>
      </w:pPr>
      <w:r w:rsidRPr="00E91938">
        <w:t>НПО: Ефективност и икономически резултати</w:t>
      </w:r>
    </w:p>
    <w:p w:rsidR="00B50337" w:rsidRPr="00E91938" w:rsidRDefault="00B50337" w:rsidP="0074475B">
      <w:pPr>
        <w:pStyle w:val="NormalWeb"/>
        <w:ind w:left="720" w:firstLine="720"/>
        <w:jc w:val="both"/>
      </w:pPr>
      <w:r w:rsidRPr="00E91938">
        <w:t>Неправителствените организации, като Център "Амалипе", "Роми за демокрация" и "Интегро", често постигат високи успехи с ограничени ресурси. Например, Център "Амалипе" има за цел да намали ранното отпадане от училище и да подобри образователните резултати на ромските деца.. Положителните резултати включват значително намаляване на отсъствията и отпадането от училище, както и повишаване на успеваемостта на учениците.</w:t>
      </w:r>
    </w:p>
    <w:p w:rsidR="00B50337" w:rsidRPr="00E91938" w:rsidRDefault="00B50337" w:rsidP="00E91938">
      <w:pPr>
        <w:pStyle w:val="Heading4"/>
        <w:ind w:left="720"/>
        <w:jc w:val="both"/>
      </w:pPr>
      <w:r w:rsidRPr="00E91938">
        <w:lastRenderedPageBreak/>
        <w:t>Силни и слаби страни на НПО</w:t>
      </w:r>
    </w:p>
    <w:p w:rsidR="00B50337" w:rsidRPr="00E91938" w:rsidRDefault="00B50337" w:rsidP="0074475B">
      <w:pPr>
        <w:pStyle w:val="NormalWeb"/>
        <w:ind w:left="720" w:firstLine="720"/>
        <w:jc w:val="both"/>
      </w:pPr>
      <w:r w:rsidRPr="00E91938">
        <w:t>Силните страни на НПО включват гъвкавостта и иновативността при разработване и изпълнение на програми. Те често използват персонализиран подход, който е съобразен с конкретните нужди на ромските общности. Освен това, НПО успяват да ангажират местните общности и да изградят доверие, което води до по-добри резултати.</w:t>
      </w:r>
    </w:p>
    <w:p w:rsidR="00B50337" w:rsidRPr="00E91938" w:rsidRDefault="00B50337" w:rsidP="0074475B">
      <w:pPr>
        <w:pStyle w:val="NormalWeb"/>
        <w:ind w:left="720" w:firstLine="720"/>
        <w:jc w:val="both"/>
      </w:pPr>
      <w:r w:rsidRPr="00E91938">
        <w:t>Слабите страни на НПО са свързани с ограниченото финансиране и зависимостта от донори, което може да доведе до нестабилност и прекъсване на програмите. Липсата на устойчиво финансиране може да ограничи мащаба и обхвата на техните усилия.</w:t>
      </w:r>
    </w:p>
    <w:p w:rsidR="00B50337" w:rsidRPr="00E91938" w:rsidRDefault="00B50337" w:rsidP="00E91938">
      <w:pPr>
        <w:pStyle w:val="Heading4"/>
        <w:ind w:left="720"/>
        <w:jc w:val="both"/>
      </w:pPr>
      <w:r w:rsidRPr="00E91938">
        <w:t>МОН: Ефективност и икономически резултати</w:t>
      </w:r>
    </w:p>
    <w:p w:rsidR="00B50337" w:rsidRPr="00E91938" w:rsidRDefault="00B50337" w:rsidP="0074475B">
      <w:pPr>
        <w:pStyle w:val="NormalWeb"/>
        <w:ind w:left="720" w:firstLine="720"/>
        <w:jc w:val="both"/>
        <w:rPr>
          <w:lang w:val="bg-BG"/>
        </w:rPr>
      </w:pPr>
      <w:r w:rsidRPr="00E91938">
        <w:t>Министерството на образованието и науката разполага със значително по-големи ресурси в сравнение с НПО, но често постига по-ниски резултати. Програмите на МОН са насочени към подобряване на достъпа до образование, здравеопазване и социални услуги за ромското население. Въпреки че тези програми изразходват значителни средства, често липсва ефективност в изпълнението и мониторинга</w:t>
      </w:r>
      <w:r w:rsidR="00CF47AD" w:rsidRPr="00E91938">
        <w:rPr>
          <w:lang w:val="bg-BG"/>
        </w:rPr>
        <w:t>, заради липсата на лично отношение и досег до ромското общество.</w:t>
      </w:r>
    </w:p>
    <w:p w:rsidR="00B50337" w:rsidRPr="00E91938" w:rsidRDefault="00B50337" w:rsidP="00E91938">
      <w:pPr>
        <w:pStyle w:val="Heading4"/>
        <w:ind w:left="720"/>
        <w:jc w:val="both"/>
      </w:pPr>
      <w:r w:rsidRPr="00E91938">
        <w:t>Силни и слаби страни на МОН</w:t>
      </w:r>
    </w:p>
    <w:p w:rsidR="00B50337" w:rsidRPr="00E91938" w:rsidRDefault="00B50337" w:rsidP="0074475B">
      <w:pPr>
        <w:pStyle w:val="NormalWeb"/>
        <w:ind w:left="720" w:firstLine="720"/>
        <w:jc w:val="both"/>
      </w:pPr>
      <w:r w:rsidRPr="00E91938">
        <w:t>Силните страни на МОН включват големия обхват и възможността за дългосрочно планиране и устойчивост на програмите. Държавните програми имат потенциал да обхванат широк кръг от бенефициенти и да осигурят последователна подкрепа.</w:t>
      </w:r>
    </w:p>
    <w:p w:rsidR="00B50337" w:rsidRPr="00E91938" w:rsidRDefault="00B50337" w:rsidP="0074475B">
      <w:pPr>
        <w:pStyle w:val="NormalWeb"/>
        <w:ind w:left="720" w:firstLine="720"/>
        <w:jc w:val="both"/>
      </w:pPr>
      <w:r w:rsidRPr="00E91938">
        <w:t>Слабите страни на МОН включват бюрокрацията и липсата на гъвкавост, което затруднява бързото адаптиране на програмите към променящите се нужди на ромските общности. Често липсва персонализиран подход и ангажираност на местно ниво, което води до по-ниска ефективност.</w:t>
      </w:r>
    </w:p>
    <w:p w:rsidR="00B50337" w:rsidRPr="00E91938" w:rsidRDefault="00B50337" w:rsidP="00E91938">
      <w:pPr>
        <w:pStyle w:val="Heading4"/>
        <w:ind w:left="720"/>
        <w:jc w:val="both"/>
      </w:pPr>
      <w:r w:rsidRPr="00E91938">
        <w:t>Икономически ефекти и устойчивост</w:t>
      </w:r>
    </w:p>
    <w:p w:rsidR="00B50337" w:rsidRPr="00E91938" w:rsidRDefault="00B50337" w:rsidP="0074475B">
      <w:pPr>
        <w:pStyle w:val="NormalWeb"/>
        <w:ind w:left="720" w:firstLine="720"/>
        <w:jc w:val="both"/>
      </w:pPr>
      <w:r w:rsidRPr="00E91938">
        <w:t>Икономическите ефекти от програмите на НПО и МОН са значителни, въпреки че подходите и резултатите им се различават. Програмите на НПО често показват по-висока ефективност при по-ниски разходи, благодарение на персонализирания подход и ангажираността на местно ниво. Това води до по-добри образователни резултати, по-ниски нива на безработица и подобрено здравеопазване сред ромските общности, което в крайна сметка допринася за икономическия растеж и социалната стабилност.</w:t>
      </w:r>
    </w:p>
    <w:p w:rsidR="00B50337" w:rsidRDefault="00B50337" w:rsidP="0074475B">
      <w:pPr>
        <w:pStyle w:val="NormalWeb"/>
        <w:ind w:left="720" w:firstLine="720"/>
        <w:jc w:val="both"/>
      </w:pPr>
      <w:r w:rsidRPr="00E91938">
        <w:t xml:space="preserve">От друга страна, програмите на МОН, въпреки значителните разходи, често страдат от липса на ефективност и гъвкавост. Необходимостта от бюрократични процедури и недостатъчната ангажираност на местно ниво могат да ограничат въздействието на тези програми. Въпреки това, държавните </w:t>
      </w:r>
      <w:r w:rsidRPr="00E91938">
        <w:lastRenderedPageBreak/>
        <w:t>програми имат потенциал за дългосрочна устойчивост и могат да осигурят последователна подкрепа за ромските общности.</w:t>
      </w:r>
    </w:p>
    <w:p w:rsidR="007860F6" w:rsidRDefault="007860F6" w:rsidP="0074475B">
      <w:pPr>
        <w:pStyle w:val="NormalWeb"/>
        <w:ind w:left="720" w:firstLine="720"/>
        <w:jc w:val="both"/>
      </w:pPr>
    </w:p>
    <w:p w:rsidR="009077D8" w:rsidRPr="00E91938" w:rsidRDefault="009077D8" w:rsidP="007860F6">
      <w:pPr>
        <w:pStyle w:val="NormalWeb"/>
        <w:ind w:firstLine="360"/>
        <w:jc w:val="both"/>
      </w:pPr>
      <w:r>
        <w:rPr>
          <w:noProof/>
        </w:rPr>
        <w:drawing>
          <wp:inline distT="0" distB="0" distL="0" distR="0" wp14:anchorId="160DDF38" wp14:editId="2D39284F">
            <wp:extent cx="5486400" cy="32004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3950" w:rsidRPr="00E91938" w:rsidRDefault="003F3950" w:rsidP="0091581D">
      <w:pPr>
        <w:pStyle w:val="NormalWeb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91938">
        <w:rPr>
          <w:b/>
          <w:bCs/>
          <w:sz w:val="28"/>
          <w:szCs w:val="28"/>
          <w:lang w:val="bg-BG"/>
        </w:rPr>
        <w:t>Изводи</w:t>
      </w:r>
    </w:p>
    <w:p w:rsidR="00C47000" w:rsidRPr="00E91938" w:rsidRDefault="00C47000" w:rsidP="0074475B">
      <w:pPr>
        <w:pStyle w:val="NormalWeb"/>
        <w:ind w:left="720" w:firstLine="720"/>
        <w:jc w:val="both"/>
      </w:pPr>
      <w:r w:rsidRPr="00E91938">
        <w:t>И Министерството на образованието и науката, и неправителствените организации проявяват значителни усилия за постигане на положителна интеграция на ромските деца и техните родители в образователната система. Подходите, които прилагат двете страни, обаче се различават съществено. Повечето проекти на МОН са насочени към осигуряване на финансиране за различни програми и НПО-та, като предоставят материални ресурси и парични средства. Това включва инвестиции в инфраструктура, учебни материали и техническа подкрепа, което е от съществено значение за успешното изпълнение на проектите.</w:t>
      </w:r>
    </w:p>
    <w:p w:rsidR="00C47000" w:rsidRPr="00E91938" w:rsidRDefault="00C47000" w:rsidP="0074475B">
      <w:pPr>
        <w:pStyle w:val="NormalWeb"/>
        <w:ind w:left="720" w:firstLine="720"/>
        <w:jc w:val="both"/>
      </w:pPr>
      <w:r w:rsidRPr="00E91938">
        <w:t>От своя страна, неправителствените организации прилагат по-личен подход, работейки директно с таргет групата – ромските деца и техните семейства. Те успяват да създадат доверие и да адресират специфичните нужди на тази общност, като провеждат обучения, осигуряват менторство и предлагат индивидуална подкрепа. Този по-близък и персонализиран контакт често води до значително по-добри резултати в сравнение с по-мащабните, но по-малко гъвкави инициативи на МОН.</w:t>
      </w:r>
    </w:p>
    <w:p w:rsidR="00C47000" w:rsidRPr="00E91938" w:rsidRDefault="00C47000" w:rsidP="0074475B">
      <w:pPr>
        <w:pStyle w:val="NormalWeb"/>
        <w:ind w:left="720" w:firstLine="720"/>
        <w:jc w:val="both"/>
      </w:pPr>
      <w:r w:rsidRPr="00E91938">
        <w:t>Въпреки че НПО-тата показват значително по-добри резултати в много случаи, те често разчитат на финансиране от МОН за реализиране на своите дейности. Финансирането, което МОН предоставя, обаче идва от по-</w:t>
      </w:r>
      <w:r w:rsidR="0074475B">
        <w:rPr>
          <w:lang w:val="bg-BG"/>
        </w:rPr>
        <w:t>висшестоящи</w:t>
      </w:r>
      <w:r w:rsidR="006E7B7C" w:rsidRPr="00E91938">
        <w:rPr>
          <w:lang w:val="bg-BG"/>
        </w:rPr>
        <w:t xml:space="preserve"> органи </w:t>
      </w:r>
      <w:r w:rsidRPr="00E91938">
        <w:t>и е ограничено от строг бюджет, определен по конкретни проекти.</w:t>
      </w:r>
    </w:p>
    <w:p w:rsidR="00C47000" w:rsidRPr="00E91938" w:rsidRDefault="00C47000" w:rsidP="0074475B">
      <w:pPr>
        <w:pStyle w:val="NormalWeb"/>
        <w:ind w:left="720" w:firstLine="720"/>
        <w:jc w:val="both"/>
      </w:pPr>
      <w:r w:rsidRPr="00E91938">
        <w:lastRenderedPageBreak/>
        <w:t>За постигане на максимален резултат в интеграцията на ромските деца, сътрудничеството между МОН и НПО трябва да продължи и дори да се задълбочи. Важно е да се увеличат финансирането и времето, отделяни за проекти, които показват значително по-високи резултати, като се насочат ресурсите там, където НПО-тата постигат успех. МОН разполага със значителни ресурси, но за да се постигнат устойчиви резултати, тези ресурси трябва да бъдат фокусирани върху инициативи и програми, които вече демонстрират реален напредък. Така ще се гарантира ефективно използване на наличните средства и ще се осигури дългосрочна позитивна промяна в интеграцията на ромските деца в образователната система.</w:t>
      </w:r>
    </w:p>
    <w:p w:rsidR="004B66CC" w:rsidRDefault="004B66CC" w:rsidP="00E26418">
      <w:pPr>
        <w:pStyle w:val="NormalWeb"/>
        <w:ind w:left="720"/>
        <w:jc w:val="both"/>
        <w:rPr>
          <w:sz w:val="28"/>
          <w:szCs w:val="28"/>
        </w:rPr>
      </w:pPr>
    </w:p>
    <w:p w:rsidR="004B66CC" w:rsidRDefault="004B66CC" w:rsidP="00E26418">
      <w:pPr>
        <w:pStyle w:val="NormalWeb"/>
        <w:ind w:left="720"/>
        <w:jc w:val="both"/>
        <w:rPr>
          <w:sz w:val="28"/>
          <w:szCs w:val="28"/>
        </w:rPr>
      </w:pPr>
    </w:p>
    <w:p w:rsidR="004B66CC" w:rsidRDefault="004B66CC" w:rsidP="00E26418">
      <w:pPr>
        <w:pStyle w:val="NormalWeb"/>
        <w:ind w:left="720"/>
        <w:jc w:val="both"/>
        <w:rPr>
          <w:sz w:val="28"/>
          <w:szCs w:val="28"/>
        </w:rPr>
      </w:pPr>
    </w:p>
    <w:p w:rsidR="004B66CC" w:rsidRDefault="004B66CC" w:rsidP="00E26418">
      <w:pPr>
        <w:pStyle w:val="NormalWeb"/>
        <w:ind w:left="720"/>
        <w:jc w:val="both"/>
        <w:rPr>
          <w:sz w:val="28"/>
          <w:szCs w:val="28"/>
        </w:rPr>
      </w:pPr>
    </w:p>
    <w:p w:rsidR="004B66CC" w:rsidRDefault="004B66CC" w:rsidP="00E26418">
      <w:pPr>
        <w:pStyle w:val="NormalWeb"/>
        <w:ind w:left="720"/>
        <w:jc w:val="both"/>
        <w:rPr>
          <w:sz w:val="28"/>
          <w:szCs w:val="28"/>
        </w:rPr>
      </w:pPr>
    </w:p>
    <w:p w:rsidR="004B66CC" w:rsidRDefault="004B66CC" w:rsidP="00E26418">
      <w:pPr>
        <w:pStyle w:val="NormalWeb"/>
        <w:ind w:left="720"/>
        <w:jc w:val="both"/>
        <w:rPr>
          <w:sz w:val="28"/>
          <w:szCs w:val="28"/>
        </w:rPr>
      </w:pPr>
    </w:p>
    <w:p w:rsidR="004B66CC" w:rsidRDefault="004B66CC" w:rsidP="00E26418">
      <w:pPr>
        <w:pStyle w:val="NormalWeb"/>
        <w:ind w:left="720"/>
        <w:jc w:val="both"/>
        <w:rPr>
          <w:sz w:val="28"/>
          <w:szCs w:val="28"/>
        </w:rPr>
      </w:pPr>
    </w:p>
    <w:p w:rsidR="004B66CC" w:rsidRDefault="004B66CC" w:rsidP="00E26418">
      <w:pPr>
        <w:pStyle w:val="NormalWeb"/>
        <w:ind w:left="720"/>
        <w:jc w:val="both"/>
        <w:rPr>
          <w:sz w:val="28"/>
          <w:szCs w:val="28"/>
        </w:rPr>
      </w:pPr>
    </w:p>
    <w:p w:rsidR="004B66CC" w:rsidRDefault="004B66CC" w:rsidP="00E26418">
      <w:pPr>
        <w:pStyle w:val="NormalWeb"/>
        <w:ind w:left="720"/>
        <w:jc w:val="both"/>
        <w:rPr>
          <w:sz w:val="28"/>
          <w:szCs w:val="28"/>
        </w:rPr>
      </w:pPr>
    </w:p>
    <w:p w:rsidR="00066F28" w:rsidRDefault="00066F28" w:rsidP="00E26418">
      <w:pPr>
        <w:pStyle w:val="NormalWeb"/>
        <w:ind w:left="720"/>
        <w:jc w:val="both"/>
        <w:rPr>
          <w:sz w:val="28"/>
          <w:szCs w:val="28"/>
        </w:rPr>
      </w:pPr>
    </w:p>
    <w:p w:rsidR="00066F28" w:rsidRDefault="00066F28" w:rsidP="00E26418">
      <w:pPr>
        <w:pStyle w:val="NormalWeb"/>
        <w:ind w:left="720"/>
        <w:jc w:val="both"/>
        <w:rPr>
          <w:sz w:val="28"/>
          <w:szCs w:val="28"/>
        </w:rPr>
      </w:pPr>
    </w:p>
    <w:p w:rsidR="00066F28" w:rsidRDefault="00066F28" w:rsidP="00E26418">
      <w:pPr>
        <w:pStyle w:val="NormalWeb"/>
        <w:ind w:left="720"/>
        <w:jc w:val="both"/>
        <w:rPr>
          <w:sz w:val="28"/>
          <w:szCs w:val="28"/>
        </w:rPr>
      </w:pPr>
    </w:p>
    <w:p w:rsidR="00066F28" w:rsidRDefault="00066F28" w:rsidP="00E26418">
      <w:pPr>
        <w:pStyle w:val="NormalWeb"/>
        <w:ind w:left="720"/>
        <w:jc w:val="both"/>
        <w:rPr>
          <w:sz w:val="28"/>
          <w:szCs w:val="28"/>
        </w:rPr>
      </w:pPr>
    </w:p>
    <w:p w:rsidR="00066F28" w:rsidRDefault="00066F28" w:rsidP="00E26418">
      <w:pPr>
        <w:pStyle w:val="NormalWeb"/>
        <w:ind w:left="720"/>
        <w:jc w:val="both"/>
        <w:rPr>
          <w:sz w:val="28"/>
          <w:szCs w:val="28"/>
        </w:rPr>
      </w:pPr>
    </w:p>
    <w:p w:rsidR="00066F28" w:rsidRDefault="00066F28" w:rsidP="00E26418">
      <w:pPr>
        <w:pStyle w:val="NormalWeb"/>
        <w:ind w:left="720"/>
        <w:jc w:val="both"/>
        <w:rPr>
          <w:sz w:val="28"/>
          <w:szCs w:val="28"/>
        </w:rPr>
      </w:pPr>
    </w:p>
    <w:p w:rsidR="00066F28" w:rsidRDefault="00066F28" w:rsidP="00E26418">
      <w:pPr>
        <w:pStyle w:val="NormalWeb"/>
        <w:ind w:left="720"/>
        <w:jc w:val="both"/>
        <w:rPr>
          <w:sz w:val="28"/>
          <w:szCs w:val="28"/>
        </w:rPr>
      </w:pPr>
    </w:p>
    <w:p w:rsidR="000A3AF2" w:rsidRDefault="000A3AF2" w:rsidP="00E26418">
      <w:pPr>
        <w:pStyle w:val="NormalWeb"/>
        <w:ind w:left="720"/>
        <w:jc w:val="both"/>
        <w:rPr>
          <w:sz w:val="28"/>
          <w:szCs w:val="28"/>
        </w:rPr>
      </w:pPr>
    </w:p>
    <w:p w:rsidR="00066F28" w:rsidRDefault="00066F28" w:rsidP="00E26418">
      <w:pPr>
        <w:pStyle w:val="NormalWeb"/>
        <w:ind w:left="720"/>
        <w:jc w:val="both"/>
        <w:rPr>
          <w:sz w:val="28"/>
          <w:szCs w:val="28"/>
        </w:rPr>
      </w:pPr>
    </w:p>
    <w:p w:rsidR="004B66CC" w:rsidRDefault="004B66CC" w:rsidP="00462B83">
      <w:pPr>
        <w:pStyle w:val="NormalWeb"/>
        <w:ind w:left="72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Из</w:t>
      </w:r>
      <w:r w:rsidR="00462B83">
        <w:rPr>
          <w:sz w:val="28"/>
          <w:szCs w:val="28"/>
          <w:lang w:val="bg-BG"/>
        </w:rPr>
        <w:t>ползвана литература</w:t>
      </w:r>
      <w:r>
        <w:rPr>
          <w:sz w:val="28"/>
          <w:szCs w:val="28"/>
          <w:lang w:val="bg-BG"/>
        </w:rPr>
        <w:t>:</w:t>
      </w:r>
    </w:p>
    <w:p w:rsidR="004B66CC" w:rsidRDefault="00000000" w:rsidP="00E26418">
      <w:pPr>
        <w:pStyle w:val="NormalWeb"/>
        <w:ind w:left="720"/>
        <w:jc w:val="both"/>
        <w:rPr>
          <w:sz w:val="28"/>
          <w:szCs w:val="28"/>
          <w:lang w:val="bg-BG"/>
        </w:rPr>
      </w:pPr>
      <w:hyperlink r:id="rId10" w:history="1">
        <w:r w:rsidR="004B66CC" w:rsidRPr="0088247D">
          <w:rPr>
            <w:rStyle w:val="Hyperlink"/>
            <w:sz w:val="28"/>
            <w:szCs w:val="28"/>
            <w:lang w:val="bg-BG"/>
          </w:rPr>
          <w:t>https://www.coe.int/en/web/portal/home</w:t>
        </w:r>
      </w:hyperlink>
    </w:p>
    <w:p w:rsidR="004B66CC" w:rsidRDefault="00000000" w:rsidP="00E26418">
      <w:pPr>
        <w:pStyle w:val="NormalWeb"/>
        <w:ind w:left="720"/>
        <w:jc w:val="both"/>
        <w:rPr>
          <w:sz w:val="28"/>
          <w:szCs w:val="28"/>
          <w:lang w:val="bg-BG"/>
        </w:rPr>
      </w:pPr>
      <w:hyperlink r:id="rId11" w:history="1">
        <w:r w:rsidR="009301AD" w:rsidRPr="00BF244C">
          <w:rPr>
            <w:rStyle w:val="Hyperlink"/>
            <w:sz w:val="28"/>
            <w:szCs w:val="28"/>
            <w:lang w:val="bg-BG"/>
          </w:rPr>
          <w:t>https://amalipe.bg/</w:t>
        </w:r>
      </w:hyperlink>
    </w:p>
    <w:p w:rsidR="009301AD" w:rsidRDefault="00000000" w:rsidP="00E26418">
      <w:pPr>
        <w:pStyle w:val="NormalWeb"/>
        <w:ind w:left="720"/>
        <w:jc w:val="both"/>
        <w:rPr>
          <w:sz w:val="28"/>
          <w:szCs w:val="28"/>
          <w:lang w:val="bg-BG"/>
        </w:rPr>
      </w:pPr>
      <w:hyperlink r:id="rId12" w:history="1">
        <w:r w:rsidR="009301AD" w:rsidRPr="00BF244C">
          <w:rPr>
            <w:rStyle w:val="Hyperlink"/>
            <w:sz w:val="28"/>
            <w:szCs w:val="28"/>
            <w:lang w:val="bg-BG"/>
          </w:rPr>
          <w:t>https://socialachievement.org/web/files/richeditor/dokumenti/Education%20and%20Employment%20survey%20report%202020.pdf</w:t>
        </w:r>
      </w:hyperlink>
    </w:p>
    <w:p w:rsidR="009301AD" w:rsidRDefault="00000000" w:rsidP="00E26418">
      <w:pPr>
        <w:pStyle w:val="NormalWeb"/>
        <w:ind w:left="720"/>
        <w:jc w:val="both"/>
        <w:rPr>
          <w:sz w:val="28"/>
          <w:szCs w:val="28"/>
          <w:lang w:val="bg-BG"/>
        </w:rPr>
      </w:pPr>
      <w:hyperlink r:id="rId13" w:history="1">
        <w:r w:rsidR="009301AD" w:rsidRPr="00BF244C">
          <w:rPr>
            <w:rStyle w:val="Hyperlink"/>
            <w:sz w:val="28"/>
            <w:szCs w:val="28"/>
            <w:lang w:val="bg-BG"/>
          </w:rPr>
          <w:t>https://socialachievement.org/bg/</w:t>
        </w:r>
      </w:hyperlink>
    </w:p>
    <w:p w:rsidR="009301AD" w:rsidRDefault="00000000" w:rsidP="00E26418">
      <w:pPr>
        <w:pStyle w:val="NormalWeb"/>
        <w:ind w:left="720"/>
        <w:jc w:val="both"/>
        <w:rPr>
          <w:sz w:val="28"/>
          <w:szCs w:val="28"/>
          <w:lang w:val="bg-BG"/>
        </w:rPr>
      </w:pPr>
      <w:hyperlink r:id="rId14" w:history="1">
        <w:r w:rsidR="009301AD" w:rsidRPr="00BF244C">
          <w:rPr>
            <w:rStyle w:val="Hyperlink"/>
            <w:sz w:val="28"/>
            <w:szCs w:val="28"/>
            <w:lang w:val="bg-BG"/>
          </w:rPr>
          <w:t>https://www.romaeducationfund.org/</w:t>
        </w:r>
      </w:hyperlink>
    </w:p>
    <w:p w:rsidR="009301AD" w:rsidRDefault="00000000" w:rsidP="00E26418">
      <w:pPr>
        <w:pStyle w:val="NormalWeb"/>
        <w:ind w:left="720"/>
        <w:jc w:val="both"/>
        <w:rPr>
          <w:sz w:val="28"/>
          <w:szCs w:val="28"/>
          <w:lang w:val="bg-BG"/>
        </w:rPr>
      </w:pPr>
      <w:hyperlink r:id="rId15" w:history="1">
        <w:r w:rsidR="009301AD" w:rsidRPr="00BF244C">
          <w:rPr>
            <w:rStyle w:val="Hyperlink"/>
            <w:sz w:val="28"/>
            <w:szCs w:val="28"/>
            <w:lang w:val="bg-BG"/>
          </w:rPr>
          <w:t>https://www.strategy.bg/PublicConsultations/View.aspx?lang=bg-BG&amp;Id=6706</w:t>
        </w:r>
      </w:hyperlink>
    </w:p>
    <w:p w:rsidR="009301AD" w:rsidRDefault="00000000" w:rsidP="00E26418">
      <w:pPr>
        <w:pStyle w:val="NormalWeb"/>
        <w:ind w:left="720"/>
        <w:jc w:val="both"/>
        <w:rPr>
          <w:sz w:val="28"/>
          <w:szCs w:val="28"/>
          <w:lang w:val="bg-BG"/>
        </w:rPr>
      </w:pPr>
      <w:hyperlink r:id="rId16" w:history="1">
        <w:r w:rsidR="00462B83" w:rsidRPr="00E96F53">
          <w:rPr>
            <w:rStyle w:val="Hyperlink"/>
            <w:sz w:val="28"/>
            <w:szCs w:val="28"/>
            <w:lang w:val="bg-BG"/>
          </w:rPr>
          <w:t>https://cooperation.liderblg.org/?page_id=13</w:t>
        </w:r>
      </w:hyperlink>
    </w:p>
    <w:p w:rsidR="00462B83" w:rsidRDefault="00462B83" w:rsidP="00E26418">
      <w:pPr>
        <w:pStyle w:val="NormalWeb"/>
        <w:ind w:left="720"/>
        <w:jc w:val="both"/>
        <w:rPr>
          <w:sz w:val="28"/>
          <w:szCs w:val="28"/>
          <w:lang w:val="bg-BG"/>
        </w:rPr>
      </w:pPr>
    </w:p>
    <w:p w:rsidR="004B66CC" w:rsidRPr="004B66CC" w:rsidRDefault="004B66CC" w:rsidP="00E26418">
      <w:pPr>
        <w:pStyle w:val="NormalWeb"/>
        <w:ind w:left="720"/>
        <w:jc w:val="both"/>
        <w:rPr>
          <w:sz w:val="28"/>
          <w:szCs w:val="28"/>
          <w:lang w:val="bg-BG"/>
        </w:rPr>
      </w:pPr>
    </w:p>
    <w:sectPr w:rsidR="004B66CC" w:rsidRPr="004B66CC"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7B9" w:rsidRDefault="00D617B9" w:rsidP="000A6D78">
      <w:r>
        <w:separator/>
      </w:r>
    </w:p>
  </w:endnote>
  <w:endnote w:type="continuationSeparator" w:id="0">
    <w:p w:rsidR="00D617B9" w:rsidRDefault="00D617B9" w:rsidP="000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59766"/>
      <w:docPartObj>
        <w:docPartGallery w:val="Page Numbers (Bottom of Page)"/>
        <w:docPartUnique/>
      </w:docPartObj>
    </w:sdtPr>
    <w:sdtContent>
      <w:p w:rsidR="000A6D78" w:rsidRDefault="000A6D78" w:rsidP="008824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A6D78" w:rsidRDefault="000A6D78" w:rsidP="000A6D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2923907"/>
      <w:docPartObj>
        <w:docPartGallery w:val="Page Numbers (Bottom of Page)"/>
        <w:docPartUnique/>
      </w:docPartObj>
    </w:sdtPr>
    <w:sdtContent>
      <w:p w:rsidR="000A6D78" w:rsidRDefault="000A6D78" w:rsidP="008824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A6D78" w:rsidRDefault="000A6D78" w:rsidP="000A6D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7B9" w:rsidRDefault="00D617B9" w:rsidP="000A6D78">
      <w:r>
        <w:separator/>
      </w:r>
    </w:p>
  </w:footnote>
  <w:footnote w:type="continuationSeparator" w:id="0">
    <w:p w:rsidR="00D617B9" w:rsidRDefault="00D617B9" w:rsidP="000A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9DB"/>
    <w:multiLevelType w:val="hybridMultilevel"/>
    <w:tmpl w:val="B1F20C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1E6E"/>
    <w:multiLevelType w:val="hybridMultilevel"/>
    <w:tmpl w:val="320A124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931A7"/>
    <w:multiLevelType w:val="multilevel"/>
    <w:tmpl w:val="417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816D2"/>
    <w:multiLevelType w:val="multilevel"/>
    <w:tmpl w:val="7A7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B20C7"/>
    <w:multiLevelType w:val="multilevel"/>
    <w:tmpl w:val="A186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22F76"/>
    <w:multiLevelType w:val="multilevel"/>
    <w:tmpl w:val="ED80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5397F"/>
    <w:multiLevelType w:val="hybridMultilevel"/>
    <w:tmpl w:val="852E9AC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1555A"/>
    <w:multiLevelType w:val="hybridMultilevel"/>
    <w:tmpl w:val="CBE484D6"/>
    <w:lvl w:ilvl="0" w:tplc="4808E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486A74"/>
    <w:multiLevelType w:val="multilevel"/>
    <w:tmpl w:val="7192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A0E78"/>
    <w:multiLevelType w:val="hybridMultilevel"/>
    <w:tmpl w:val="7C6C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03208">
    <w:abstractNumId w:val="6"/>
  </w:num>
  <w:num w:numId="2" w16cid:durableId="2024896413">
    <w:abstractNumId w:val="0"/>
  </w:num>
  <w:num w:numId="3" w16cid:durableId="1950817040">
    <w:abstractNumId w:val="3"/>
  </w:num>
  <w:num w:numId="4" w16cid:durableId="819270869">
    <w:abstractNumId w:val="8"/>
  </w:num>
  <w:num w:numId="5" w16cid:durableId="1923642739">
    <w:abstractNumId w:val="2"/>
  </w:num>
  <w:num w:numId="6" w16cid:durableId="1716851837">
    <w:abstractNumId w:val="5"/>
  </w:num>
  <w:num w:numId="7" w16cid:durableId="840661143">
    <w:abstractNumId w:val="4"/>
  </w:num>
  <w:num w:numId="8" w16cid:durableId="1430545945">
    <w:abstractNumId w:val="1"/>
  </w:num>
  <w:num w:numId="9" w16cid:durableId="1626153565">
    <w:abstractNumId w:val="9"/>
  </w:num>
  <w:num w:numId="10" w16cid:durableId="1351880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08"/>
    <w:rsid w:val="00041B89"/>
    <w:rsid w:val="00066F28"/>
    <w:rsid w:val="00073A57"/>
    <w:rsid w:val="00084A76"/>
    <w:rsid w:val="000A0B1C"/>
    <w:rsid w:val="000A3AF2"/>
    <w:rsid w:val="000A6D78"/>
    <w:rsid w:val="000F24C6"/>
    <w:rsid w:val="0019052F"/>
    <w:rsid w:val="001C5787"/>
    <w:rsid w:val="001F384D"/>
    <w:rsid w:val="0021456C"/>
    <w:rsid w:val="00221091"/>
    <w:rsid w:val="00230D95"/>
    <w:rsid w:val="00261CF4"/>
    <w:rsid w:val="0026352C"/>
    <w:rsid w:val="002836E1"/>
    <w:rsid w:val="002B07A5"/>
    <w:rsid w:val="002E0321"/>
    <w:rsid w:val="003555E0"/>
    <w:rsid w:val="00357206"/>
    <w:rsid w:val="0036754B"/>
    <w:rsid w:val="003E019E"/>
    <w:rsid w:val="003E4A2B"/>
    <w:rsid w:val="003F3950"/>
    <w:rsid w:val="004069DE"/>
    <w:rsid w:val="00421DC5"/>
    <w:rsid w:val="00423D35"/>
    <w:rsid w:val="00427C4D"/>
    <w:rsid w:val="00440AF6"/>
    <w:rsid w:val="00446D7C"/>
    <w:rsid w:val="00462B83"/>
    <w:rsid w:val="004A066F"/>
    <w:rsid w:val="004B199D"/>
    <w:rsid w:val="004B65CC"/>
    <w:rsid w:val="004B66CC"/>
    <w:rsid w:val="004D4A95"/>
    <w:rsid w:val="004E3EBA"/>
    <w:rsid w:val="00516495"/>
    <w:rsid w:val="00577EEC"/>
    <w:rsid w:val="005C42FD"/>
    <w:rsid w:val="005F3591"/>
    <w:rsid w:val="00612DC1"/>
    <w:rsid w:val="00652113"/>
    <w:rsid w:val="00693B06"/>
    <w:rsid w:val="006A23A5"/>
    <w:rsid w:val="006A4701"/>
    <w:rsid w:val="006C430E"/>
    <w:rsid w:val="006E7B7C"/>
    <w:rsid w:val="00702D55"/>
    <w:rsid w:val="00710FFD"/>
    <w:rsid w:val="00722979"/>
    <w:rsid w:val="00724DF5"/>
    <w:rsid w:val="00726C0C"/>
    <w:rsid w:val="00731A32"/>
    <w:rsid w:val="0074475B"/>
    <w:rsid w:val="0078057D"/>
    <w:rsid w:val="007860F6"/>
    <w:rsid w:val="0078655F"/>
    <w:rsid w:val="00786B33"/>
    <w:rsid w:val="00787BDC"/>
    <w:rsid w:val="007B06AD"/>
    <w:rsid w:val="0080297E"/>
    <w:rsid w:val="00812A08"/>
    <w:rsid w:val="00820E99"/>
    <w:rsid w:val="008509EE"/>
    <w:rsid w:val="00857250"/>
    <w:rsid w:val="008E72C1"/>
    <w:rsid w:val="008F5DA3"/>
    <w:rsid w:val="009077D8"/>
    <w:rsid w:val="0091581D"/>
    <w:rsid w:val="009301AD"/>
    <w:rsid w:val="00965BC4"/>
    <w:rsid w:val="009B06D6"/>
    <w:rsid w:val="009C5505"/>
    <w:rsid w:val="009C6540"/>
    <w:rsid w:val="009F7FC3"/>
    <w:rsid w:val="00A8640B"/>
    <w:rsid w:val="00AA2E81"/>
    <w:rsid w:val="00AA3683"/>
    <w:rsid w:val="00AE1966"/>
    <w:rsid w:val="00B13DEE"/>
    <w:rsid w:val="00B155EB"/>
    <w:rsid w:val="00B162F8"/>
    <w:rsid w:val="00B36712"/>
    <w:rsid w:val="00B50337"/>
    <w:rsid w:val="00B512E0"/>
    <w:rsid w:val="00B8611F"/>
    <w:rsid w:val="00BD04C2"/>
    <w:rsid w:val="00C47000"/>
    <w:rsid w:val="00C644F2"/>
    <w:rsid w:val="00CB06B8"/>
    <w:rsid w:val="00CF47AD"/>
    <w:rsid w:val="00D12159"/>
    <w:rsid w:val="00D55DCB"/>
    <w:rsid w:val="00D617B9"/>
    <w:rsid w:val="00D710E0"/>
    <w:rsid w:val="00E26418"/>
    <w:rsid w:val="00E35877"/>
    <w:rsid w:val="00E43BA2"/>
    <w:rsid w:val="00E6181F"/>
    <w:rsid w:val="00E668EF"/>
    <w:rsid w:val="00E85E90"/>
    <w:rsid w:val="00E91938"/>
    <w:rsid w:val="00EB2841"/>
    <w:rsid w:val="00EF11BE"/>
    <w:rsid w:val="00F275EA"/>
    <w:rsid w:val="00F32349"/>
    <w:rsid w:val="00F90A0E"/>
    <w:rsid w:val="00F93EA7"/>
    <w:rsid w:val="00FD3B65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235DB3"/>
  <w15:docId w15:val="{E13DC3A0-CB5E-8D49-9339-A10D2EDD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32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E4A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4A2B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4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A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AA368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0FF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E4A2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4A2B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41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DefaultParagraphFont"/>
    <w:rsid w:val="004A066F"/>
  </w:style>
  <w:style w:type="paragraph" w:styleId="Footer">
    <w:name w:val="footer"/>
    <w:basedOn w:val="Normal"/>
    <w:link w:val="FooterChar"/>
    <w:uiPriority w:val="99"/>
    <w:unhideWhenUsed/>
    <w:rsid w:val="000A6D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6D78"/>
  </w:style>
  <w:style w:type="character" w:styleId="PageNumber">
    <w:name w:val="page number"/>
    <w:basedOn w:val="DefaultParagraphFont"/>
    <w:uiPriority w:val="99"/>
    <w:semiHidden/>
    <w:unhideWhenUsed/>
    <w:rsid w:val="000A6D78"/>
  </w:style>
  <w:style w:type="character" w:styleId="Hyperlink">
    <w:name w:val="Hyperlink"/>
    <w:basedOn w:val="DefaultParagraphFont"/>
    <w:uiPriority w:val="99"/>
    <w:unhideWhenUsed/>
    <w:rsid w:val="004B6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6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C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5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socialachievement.org/bg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ocialachievement.org/web/files/richeditor/dokumenti/Education%20and%20Employment%20survey%20report%202020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ooperation.liderblg.org/?page_id=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alipe.b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rategy.bg/PublicConsultations/View.aspx?lang=bg-BG&amp;Id=6706" TargetMode="External"/><Relationship Id="rId10" Type="http://schemas.openxmlformats.org/officeDocument/2006/relationships/hyperlink" Target="https://www.coe.int/en/web/portal/ho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www.romaeducationfund.org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Годишен бюджет за 2023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94E-454C-93CC-7B7952F8C309}"/>
              </c:ext>
            </c:extLst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94E-454C-93CC-7B7952F8C309}"/>
              </c:ext>
            </c:extLst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94E-454C-93CC-7B7952F8C309}"/>
              </c:ext>
            </c:extLst>
          </c:dPt>
          <c:dPt>
            <c:idx val="3"/>
            <c:bubble3D val="0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94E-454C-93CC-7B7952F8C309}"/>
              </c:ext>
            </c:extLst>
          </c:dPt>
          <c:dPt>
            <c:idx val="4"/>
            <c:bubble3D val="0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94E-454C-93CC-7B7952F8C309}"/>
              </c:ext>
            </c:extLst>
          </c:dPt>
          <c:dPt>
            <c:idx val="5"/>
            <c:bubble3D val="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94E-454C-93CC-7B7952F8C30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ЕК, европ. програми</c:v>
                </c:pt>
                <c:pt idx="1">
                  <c:v>Национални оперативни програми</c:v>
                </c:pt>
                <c:pt idx="2">
                  <c:v>Програми на МОН</c:v>
                </c:pt>
                <c:pt idx="3">
                  <c:v>Други организации</c:v>
                </c:pt>
                <c:pt idx="4">
                  <c:v>Тръст за социална алтернатива</c:v>
                </c:pt>
                <c:pt idx="5">
                  <c:v>Дарения от частни лица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0.2467</c:v>
                </c:pt>
                <c:pt idx="1">
                  <c:v>0.1724</c:v>
                </c:pt>
                <c:pt idx="2">
                  <c:v>9.9000000000000008E-3</c:v>
                </c:pt>
                <c:pt idx="3">
                  <c:v>0.29320000000000002</c:v>
                </c:pt>
                <c:pt idx="4">
                  <c:v>0.27329999999999999</c:v>
                </c:pt>
                <c:pt idx="5">
                  <c:v>3.5999999999999999E-3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CC-6A4F-9BFE-C27985D3755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Сравнение на ресурси и резултати</a:t>
            </a:r>
            <a:r>
              <a:rPr lang="bg-BG" baseline="0"/>
              <a:t>  на НПО и МОН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Ресурси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НПО</c:v>
                </c:pt>
                <c:pt idx="1">
                  <c:v>МОН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3-3A41-BFE1-2528C2085DA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Резултати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НПО</c:v>
                </c:pt>
                <c:pt idx="1">
                  <c:v>МОН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4.5999999999999996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B3-3A41-BFE1-2528C2085D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6006592"/>
        <c:axId val="1846008240"/>
      </c:barChart>
      <c:catAx>
        <c:axId val="184600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BG"/>
          </a:p>
        </c:txPr>
        <c:crossAx val="1846008240"/>
        <c:crosses val="autoZero"/>
        <c:auto val="1"/>
        <c:lblAlgn val="ctr"/>
        <c:lblOffset val="100"/>
        <c:noMultiLvlLbl val="0"/>
      </c:catAx>
      <c:valAx>
        <c:axId val="184600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BG"/>
          </a:p>
        </c:txPr>
        <c:crossAx val="184600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4294967159</TotalTime>
  <Pages>14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Zhechkova</dc:creator>
  <cp:keywords/>
  <dc:description/>
  <cp:lastModifiedBy>Ema Zhechkova</cp:lastModifiedBy>
  <cp:revision>69</cp:revision>
  <dcterms:created xsi:type="dcterms:W3CDTF">2024-06-21T14:07:00Z</dcterms:created>
  <dcterms:modified xsi:type="dcterms:W3CDTF">2024-09-29T12:47:00Z</dcterms:modified>
</cp:coreProperties>
</file>